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B6D561">
      <w:pP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  <w:t>1</w:t>
      </w:r>
    </w:p>
    <w:p w14:paraId="02E5A001">
      <w:pPr>
        <w:jc w:val="center"/>
        <w:rPr>
          <w:rFonts w:hint="default" w:ascii="Times New Roman" w:hAnsi="Times New Roman" w:cs="Times New Roman"/>
          <w:color w:val="auto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</w:p>
    <w:p w14:paraId="42658B41">
      <w:pPr>
        <w:spacing w:line="360" w:lineRule="auto"/>
        <w:jc w:val="left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lang w:val="en-US" w:eastAsia="zh-CN"/>
        </w:rPr>
        <w:t>德阳高新发展有限公司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：</w:t>
      </w:r>
    </w:p>
    <w:p w14:paraId="13098516">
      <w:pPr>
        <w:spacing w:line="440" w:lineRule="exact"/>
        <w:ind w:firstLine="560" w:firstLineChars="200"/>
        <w:rPr>
          <w:rFonts w:hint="eastAsia" w:ascii="Times New Roman" w:hAnsi="Times New Roman" w:cs="Times New Roman"/>
          <w:color w:val="auto"/>
          <w:sz w:val="28"/>
          <w:szCs w:val="28"/>
          <w:lang w:eastAsia="zh-CN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关于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>德阳高新区水系综合整治建设项目、三星湖河湖连通建设项目“打捆”工程民工生活区临时建筑及苗木残余价值处置拍卖服务</w:t>
      </w:r>
      <w:r>
        <w:rPr>
          <w:rFonts w:hint="eastAsia" w:ascii="Times New Roman" w:hAnsi="Times New Roman" w:cs="Times New Roman"/>
          <w:color w:val="auto"/>
          <w:sz w:val="28"/>
          <w:szCs w:val="28"/>
          <w:u w:val="none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，结合本</w:t>
      </w:r>
      <w:r>
        <w:rPr>
          <w:rFonts w:hint="eastAsia" w:ascii="Times New Roman" w:hAnsi="Times New Roman" w:cs="Times New Roman"/>
          <w:color w:val="auto"/>
          <w:sz w:val="28"/>
          <w:szCs w:val="28"/>
          <w:lang w:eastAsia="zh-CN"/>
        </w:rPr>
        <w:t>项目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特点及服务工作内容，经仔细研究决定，我方（单位的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lang w:eastAsia="zh-CN"/>
        </w:rPr>
        <w:t>名称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）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服务费金额</w:t>
      </w:r>
      <w:r>
        <w:rPr>
          <w:rFonts w:hint="eastAsia" w:ascii="Times New Roman" w:hAnsi="Times New Roman" w:cs="Times New Roman"/>
          <w:color w:val="auto"/>
          <w:sz w:val="28"/>
          <w:szCs w:val="28"/>
          <w:lang w:eastAsia="zh-CN"/>
        </w:rPr>
        <w:t>如下：</w:t>
      </w:r>
    </w:p>
    <w:p w14:paraId="7CA198D4">
      <w:pPr>
        <w:pStyle w:val="4"/>
        <w:rPr>
          <w:rFonts w:hint="eastAsia"/>
          <w:lang w:eastAsia="zh-CN"/>
        </w:rPr>
      </w:pPr>
    </w:p>
    <w:tbl>
      <w:tblPr>
        <w:tblStyle w:val="6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8"/>
        <w:gridCol w:w="3422"/>
        <w:gridCol w:w="2177"/>
        <w:gridCol w:w="1962"/>
      </w:tblGrid>
      <w:tr w14:paraId="01316A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562" w:type="pct"/>
            <w:noWrap w:val="0"/>
            <w:vAlign w:val="center"/>
          </w:tcPr>
          <w:p w14:paraId="5F0042B7">
            <w:pPr>
              <w:jc w:val="center"/>
              <w:rPr>
                <w:rFonts w:hint="eastAsia" w:ascii="Times New Roman" w:hAnsi="Times New Roman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宋体"/>
                <w:color w:val="auto"/>
                <w:sz w:val="24"/>
                <w:szCs w:val="24"/>
                <w:highlight w:val="none"/>
                <w:lang w:val="en-US" w:eastAsia="zh-CN"/>
              </w:rPr>
              <w:t>序号</w:t>
            </w:r>
          </w:p>
        </w:tc>
        <w:tc>
          <w:tcPr>
            <w:tcW w:w="2007" w:type="pct"/>
            <w:noWrap w:val="0"/>
            <w:vAlign w:val="center"/>
          </w:tcPr>
          <w:p w14:paraId="05AFC251">
            <w:pPr>
              <w:jc w:val="center"/>
              <w:rPr>
                <w:rFonts w:hint="default" w:ascii="Times New Roman" w:hAnsi="Times New Roman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宋体"/>
                <w:color w:val="auto"/>
                <w:sz w:val="24"/>
                <w:szCs w:val="24"/>
                <w:highlight w:val="none"/>
                <w:lang w:val="en-US" w:eastAsia="zh-CN"/>
              </w:rPr>
              <w:t>成交额（万元）</w:t>
            </w:r>
          </w:p>
        </w:tc>
        <w:tc>
          <w:tcPr>
            <w:tcW w:w="1277" w:type="pct"/>
            <w:noWrap w:val="0"/>
            <w:vAlign w:val="center"/>
          </w:tcPr>
          <w:p w14:paraId="25DBFD17">
            <w:pPr>
              <w:jc w:val="center"/>
              <w:rPr>
                <w:rFonts w:hint="eastAsia" w:ascii="Times New Roman" w:hAnsi="Times New Roman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z w:val="24"/>
                <w:szCs w:val="24"/>
                <w:highlight w:val="none"/>
                <w:lang w:val="en-US" w:eastAsia="zh-CN"/>
              </w:rPr>
              <w:t>差额定率累进收费标准</w:t>
            </w:r>
            <w:r>
              <w:rPr>
                <w:rFonts w:hint="eastAsia" w:ascii="Times New Roman" w:hAnsi="Times New Roman" w:eastAsia="宋体" w:cs="宋体"/>
                <w:color w:val="auto"/>
                <w:sz w:val="24"/>
                <w:szCs w:val="24"/>
                <w:highlight w:val="none"/>
              </w:rPr>
              <w:t>（</w:t>
            </w:r>
            <w:r>
              <w:rPr>
                <w:rFonts w:hint="eastAsia" w:cs="宋体"/>
                <w:color w:val="auto"/>
                <w:sz w:val="24"/>
                <w:szCs w:val="24"/>
                <w:highlight w:val="none"/>
                <w:lang w:val="en-US" w:eastAsia="zh-CN"/>
              </w:rPr>
              <w:t>%</w:t>
            </w:r>
            <w:r>
              <w:rPr>
                <w:rFonts w:hint="eastAsia" w:ascii="Times New Roman" w:hAnsi="Times New Roman" w:eastAsia="宋体" w:cs="宋体"/>
                <w:color w:val="auto"/>
                <w:sz w:val="24"/>
                <w:szCs w:val="24"/>
                <w:highlight w:val="none"/>
              </w:rPr>
              <w:t>）</w:t>
            </w:r>
          </w:p>
        </w:tc>
        <w:tc>
          <w:tcPr>
            <w:tcW w:w="1151" w:type="pct"/>
            <w:noWrap w:val="0"/>
            <w:vAlign w:val="center"/>
          </w:tcPr>
          <w:p w14:paraId="5A2057BD">
            <w:pPr>
              <w:jc w:val="center"/>
              <w:rPr>
                <w:rFonts w:hint="default" w:ascii="Times New Roman" w:hAnsi="Times New Roman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宋体"/>
                <w:color w:val="auto"/>
                <w:sz w:val="24"/>
                <w:szCs w:val="24"/>
                <w:highlight w:val="none"/>
                <w:lang w:val="en-US" w:eastAsia="zh-CN"/>
              </w:rPr>
              <w:t>费用承担对象</w:t>
            </w:r>
          </w:p>
        </w:tc>
      </w:tr>
      <w:tr w14:paraId="43A041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562" w:type="pct"/>
            <w:noWrap w:val="0"/>
            <w:vAlign w:val="center"/>
          </w:tcPr>
          <w:p w14:paraId="656D2580">
            <w:pPr>
              <w:pStyle w:val="4"/>
              <w:ind w:left="0" w:leftChars="0" w:right="0" w:rightChars="0"/>
              <w:jc w:val="center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2007" w:type="pct"/>
            <w:noWrap w:val="0"/>
            <w:vAlign w:val="center"/>
          </w:tcPr>
          <w:p w14:paraId="27CE6D99">
            <w:pPr>
              <w:pStyle w:val="4"/>
              <w:ind w:left="0" w:leftChars="0" w:right="0" w:rightChars="0"/>
              <w:jc w:val="center"/>
              <w:rPr>
                <w:rFonts w:hint="eastAsia" w:ascii="Calibri" w:hAnsi="Calibri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100万元（含）以下</w:t>
            </w:r>
          </w:p>
        </w:tc>
        <w:tc>
          <w:tcPr>
            <w:tcW w:w="1277" w:type="pct"/>
            <w:noWrap w:val="0"/>
            <w:vAlign w:val="center"/>
          </w:tcPr>
          <w:p w14:paraId="18965B22">
            <w:pPr>
              <w:jc w:val="center"/>
              <w:rPr>
                <w:rFonts w:hint="default" w:ascii="Times New Roman" w:hAnsi="Times New Roman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151" w:type="pct"/>
            <w:vMerge w:val="restart"/>
            <w:noWrap w:val="0"/>
            <w:vAlign w:val="center"/>
          </w:tcPr>
          <w:p w14:paraId="326C6003">
            <w:pPr>
              <w:jc w:val="center"/>
              <w:rPr>
                <w:rFonts w:hint="eastAsia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宋体"/>
                <w:color w:val="auto"/>
                <w:sz w:val="24"/>
                <w:szCs w:val="24"/>
                <w:highlight w:val="none"/>
                <w:lang w:val="en-US" w:eastAsia="zh-CN"/>
              </w:rPr>
              <w:t>□委托方</w:t>
            </w:r>
          </w:p>
          <w:p w14:paraId="701CA285">
            <w:pPr>
              <w:jc w:val="center"/>
              <w:rPr>
                <w:rFonts w:hint="eastAsia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  <w:p w14:paraId="4B558913">
            <w:pPr>
              <w:jc w:val="center"/>
              <w:rPr>
                <w:rFonts w:hint="eastAsia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宋体"/>
                <w:color w:val="auto"/>
                <w:sz w:val="24"/>
                <w:szCs w:val="24"/>
                <w:highlight w:val="none"/>
                <w:lang w:val="en-US" w:eastAsia="zh-CN"/>
              </w:rPr>
              <w:t>☑竞得人</w:t>
            </w:r>
          </w:p>
          <w:p w14:paraId="1DF1AB2B">
            <w:pPr>
              <w:pStyle w:val="4"/>
              <w:rPr>
                <w:rFonts w:hint="eastAsia" w:ascii="Calibri" w:hAnsi="Calibri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  <w:p w14:paraId="0EE2D20F">
            <w:pPr>
              <w:pStyle w:val="8"/>
              <w:jc w:val="center"/>
              <w:rPr>
                <w:rFonts w:hint="eastAsia" w:ascii="Calibri" w:hAnsi="Calibri" w:eastAsia="宋体" w:cs="宋体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□委托方</w:t>
            </w:r>
          </w:p>
          <w:p w14:paraId="1E142593">
            <w:pPr>
              <w:pStyle w:val="8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cs="宋体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和竞得人</w:t>
            </w:r>
          </w:p>
        </w:tc>
      </w:tr>
      <w:tr w14:paraId="685931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562" w:type="pct"/>
            <w:noWrap w:val="0"/>
            <w:vAlign w:val="center"/>
          </w:tcPr>
          <w:p w14:paraId="76165F81">
            <w:pPr>
              <w:pStyle w:val="4"/>
              <w:ind w:left="0" w:leftChars="0" w:right="0" w:rightChars="0"/>
              <w:jc w:val="center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2007" w:type="pct"/>
            <w:noWrap w:val="0"/>
            <w:vAlign w:val="center"/>
          </w:tcPr>
          <w:p w14:paraId="1D5DB695">
            <w:pPr>
              <w:pStyle w:val="4"/>
              <w:ind w:left="0" w:leftChars="0" w:right="0" w:rightChars="0"/>
              <w:jc w:val="center"/>
              <w:rPr>
                <w:rFonts w:hint="eastAsia" w:ascii="Calibri" w:hAnsi="Calibri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100万元（不含）以上~500万元（含）以下</w:t>
            </w:r>
          </w:p>
        </w:tc>
        <w:tc>
          <w:tcPr>
            <w:tcW w:w="1277" w:type="pct"/>
            <w:noWrap w:val="0"/>
            <w:vAlign w:val="center"/>
          </w:tcPr>
          <w:p w14:paraId="2DFA7EB5">
            <w:pPr>
              <w:jc w:val="center"/>
              <w:rPr>
                <w:rFonts w:hint="default" w:ascii="Times New Roman" w:hAnsi="Times New Roman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宋体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151" w:type="pct"/>
            <w:vMerge w:val="continue"/>
            <w:noWrap w:val="0"/>
            <w:vAlign w:val="center"/>
          </w:tcPr>
          <w:p w14:paraId="53171503">
            <w:pPr>
              <w:jc w:val="center"/>
              <w:rPr>
                <w:rFonts w:hint="eastAsia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 w14:paraId="2876A3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62" w:type="pct"/>
            <w:noWrap w:val="0"/>
            <w:vAlign w:val="center"/>
          </w:tcPr>
          <w:p w14:paraId="55C59F05">
            <w:pPr>
              <w:pStyle w:val="4"/>
              <w:ind w:left="0" w:leftChars="0" w:right="0" w:rightChars="0"/>
              <w:jc w:val="center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2007" w:type="pct"/>
            <w:noWrap w:val="0"/>
            <w:vAlign w:val="center"/>
          </w:tcPr>
          <w:p w14:paraId="63D93A4E">
            <w:pPr>
              <w:pStyle w:val="4"/>
              <w:ind w:left="0" w:leftChars="0" w:right="0" w:rightChars="0"/>
              <w:jc w:val="center"/>
              <w:rPr>
                <w:rFonts w:hint="eastAsia" w:ascii="Calibri" w:hAnsi="Calibri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500万元（不含）以上~1000万元（含）以下</w:t>
            </w:r>
          </w:p>
        </w:tc>
        <w:tc>
          <w:tcPr>
            <w:tcW w:w="1277" w:type="pct"/>
            <w:noWrap w:val="0"/>
            <w:vAlign w:val="center"/>
          </w:tcPr>
          <w:p w14:paraId="17EF11DB">
            <w:pPr>
              <w:jc w:val="center"/>
              <w:rPr>
                <w:rFonts w:hint="default" w:ascii="Times New Roman" w:hAnsi="Times New Roman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宋体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151" w:type="pct"/>
            <w:vMerge w:val="continue"/>
            <w:noWrap w:val="0"/>
            <w:vAlign w:val="center"/>
          </w:tcPr>
          <w:p w14:paraId="3F1F0F40">
            <w:pPr>
              <w:jc w:val="center"/>
              <w:rPr>
                <w:rFonts w:hint="eastAsia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 w14:paraId="77673B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62" w:type="pct"/>
            <w:noWrap w:val="0"/>
            <w:vAlign w:val="center"/>
          </w:tcPr>
          <w:p w14:paraId="60A7E11F">
            <w:pPr>
              <w:pStyle w:val="4"/>
              <w:ind w:left="0" w:leftChars="0" w:right="0" w:rightChars="0"/>
              <w:jc w:val="center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2007" w:type="pct"/>
            <w:noWrap w:val="0"/>
            <w:vAlign w:val="center"/>
          </w:tcPr>
          <w:p w14:paraId="13A6B0C6">
            <w:pPr>
              <w:pStyle w:val="4"/>
              <w:ind w:left="0" w:leftChars="0" w:right="0" w:rightChars="0"/>
              <w:jc w:val="center"/>
              <w:rPr>
                <w:rFonts w:hint="eastAsia" w:ascii="Calibri" w:hAnsi="Calibri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1000万元（不含）以上~5000万元（含）以下</w:t>
            </w:r>
          </w:p>
        </w:tc>
        <w:tc>
          <w:tcPr>
            <w:tcW w:w="1277" w:type="pct"/>
            <w:noWrap w:val="0"/>
            <w:vAlign w:val="center"/>
          </w:tcPr>
          <w:p w14:paraId="1213C78B">
            <w:pPr>
              <w:jc w:val="center"/>
              <w:rPr>
                <w:rFonts w:hint="default" w:ascii="Times New Roman" w:hAnsi="Times New Roman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宋体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151" w:type="pct"/>
            <w:vMerge w:val="continue"/>
            <w:noWrap w:val="0"/>
            <w:vAlign w:val="center"/>
          </w:tcPr>
          <w:p w14:paraId="45C9A2D9">
            <w:pPr>
              <w:jc w:val="center"/>
              <w:rPr>
                <w:rFonts w:hint="eastAsia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 w14:paraId="60157C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62" w:type="pct"/>
            <w:noWrap w:val="0"/>
            <w:vAlign w:val="center"/>
          </w:tcPr>
          <w:p w14:paraId="64BF0086">
            <w:pPr>
              <w:pStyle w:val="4"/>
              <w:ind w:left="0" w:leftChars="0" w:right="0" w:rightChars="0"/>
              <w:jc w:val="center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2007" w:type="pct"/>
            <w:noWrap w:val="0"/>
            <w:vAlign w:val="center"/>
          </w:tcPr>
          <w:p w14:paraId="5DC0DDD5">
            <w:pPr>
              <w:pStyle w:val="4"/>
              <w:ind w:left="0" w:leftChars="0" w:right="0" w:rightChars="0"/>
              <w:jc w:val="center"/>
              <w:rPr>
                <w:rFonts w:hint="eastAsia" w:ascii="Calibri" w:hAnsi="Calibri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5000万元（</w:t>
            </w:r>
            <w:r>
              <w:rPr>
                <w:rFonts w:hint="eastAsia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不</w:t>
            </w:r>
            <w:r>
              <w:rPr>
                <w:rFonts w:hint="eastAsia" w:ascii="Calibri" w:hAnsi="Calibri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含）以上~10000万元（不含）以下</w:t>
            </w:r>
          </w:p>
        </w:tc>
        <w:tc>
          <w:tcPr>
            <w:tcW w:w="1277" w:type="pct"/>
            <w:noWrap w:val="0"/>
            <w:vAlign w:val="center"/>
          </w:tcPr>
          <w:p w14:paraId="636162B4">
            <w:pPr>
              <w:jc w:val="center"/>
              <w:rPr>
                <w:rFonts w:hint="default" w:ascii="Times New Roman" w:hAnsi="Times New Roman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宋体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151" w:type="pct"/>
            <w:vMerge w:val="continue"/>
            <w:noWrap w:val="0"/>
            <w:vAlign w:val="center"/>
          </w:tcPr>
          <w:p w14:paraId="085C4A86">
            <w:pPr>
              <w:jc w:val="center"/>
              <w:rPr>
                <w:rFonts w:hint="eastAsia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 w14:paraId="6A04AE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562" w:type="pct"/>
            <w:noWrap w:val="0"/>
            <w:vAlign w:val="center"/>
          </w:tcPr>
          <w:p w14:paraId="1D30C4D5">
            <w:pPr>
              <w:pStyle w:val="4"/>
              <w:ind w:left="0" w:leftChars="0" w:right="0" w:rightChars="0"/>
              <w:jc w:val="center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6</w:t>
            </w:r>
          </w:p>
        </w:tc>
        <w:tc>
          <w:tcPr>
            <w:tcW w:w="2007" w:type="pct"/>
            <w:noWrap w:val="0"/>
            <w:vAlign w:val="center"/>
          </w:tcPr>
          <w:p w14:paraId="0133D873">
            <w:pPr>
              <w:pStyle w:val="4"/>
              <w:ind w:left="0" w:leftChars="0" w:right="0" w:rightChars="0"/>
              <w:jc w:val="center"/>
              <w:rPr>
                <w:rFonts w:hint="eastAsia" w:ascii="Calibri" w:hAnsi="Calibri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10000万元（含）以上</w:t>
            </w:r>
          </w:p>
        </w:tc>
        <w:tc>
          <w:tcPr>
            <w:tcW w:w="1277" w:type="pct"/>
            <w:noWrap w:val="0"/>
            <w:vAlign w:val="center"/>
          </w:tcPr>
          <w:p w14:paraId="196792D5">
            <w:pPr>
              <w:jc w:val="center"/>
              <w:rPr>
                <w:rFonts w:hint="default" w:ascii="Times New Roman" w:hAnsi="Times New Roman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宋体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151" w:type="pct"/>
            <w:vMerge w:val="continue"/>
            <w:noWrap w:val="0"/>
            <w:vAlign w:val="center"/>
          </w:tcPr>
          <w:p w14:paraId="233B6649">
            <w:pPr>
              <w:jc w:val="center"/>
              <w:rPr>
                <w:rFonts w:hint="eastAsia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</w:tbl>
    <w:p w14:paraId="1264D2F7">
      <w:pPr>
        <w:spacing w:line="480" w:lineRule="auto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265D95C9">
      <w:pPr>
        <w:spacing w:line="36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注</w:t>
      </w:r>
      <w:r>
        <w:rPr>
          <w:rFonts w:hint="default" w:ascii="Times New Roman" w:hAnsi="Times New Roman" w:cs="Times New Roman"/>
          <w:color w:val="auto"/>
          <w:sz w:val="24"/>
          <w:szCs w:val="24"/>
          <w:lang w:eastAsia="zh-CN"/>
        </w:rPr>
        <w:t>：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所有报价均用人民币表示，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采用上述差额定率累进收费标准收取拍卖佣金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，该费用为</w:t>
      </w:r>
      <w:r>
        <w:rPr>
          <w:rFonts w:hint="default" w:ascii="Times New Roman" w:hAnsi="Times New Roman" w:cs="Times New Roman"/>
          <w:color w:val="auto"/>
          <w:sz w:val="24"/>
          <w:szCs w:val="24"/>
          <w:lang w:eastAsia="zh-CN"/>
        </w:rPr>
        <w:t>固定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包干费用，</w:t>
      </w: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t>包括但不限于拍卖、编制、会务费、人工费、材料费、交通费、差旅费、税费、利润、保险费等为完成本项目约定服务的所有费用，以及后续服务费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。</w:t>
      </w:r>
    </w:p>
    <w:p w14:paraId="28EC4F97">
      <w:pPr>
        <w:pStyle w:val="4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5386FDBA">
      <w:pPr>
        <w:adjustRightInd w:val="0"/>
        <w:spacing w:line="360" w:lineRule="auto"/>
        <w:ind w:firstLine="3578" w:firstLineChars="1491"/>
        <w:jc w:val="left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单位名称：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   </w:t>
      </w:r>
      <w:r>
        <w:rPr>
          <w:rFonts w:hint="eastAsia" w:ascii="Times New Roman" w:hAnsi="Times New Roman" w:cs="Times New Roman"/>
          <w:color w:val="auto"/>
          <w:sz w:val="24"/>
          <w:szCs w:val="24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（盖单位公章）</w:t>
      </w:r>
    </w:p>
    <w:p w14:paraId="0FAC399C">
      <w:pPr>
        <w:adjustRightInd w:val="0"/>
        <w:spacing w:line="360" w:lineRule="auto"/>
        <w:ind w:firstLine="3578" w:firstLineChars="1491"/>
        <w:jc w:val="left"/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联 系 人：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</w:t>
      </w:r>
    </w:p>
    <w:p w14:paraId="40EFCF2D">
      <w:pPr>
        <w:adjustRightInd w:val="0"/>
        <w:spacing w:line="360" w:lineRule="auto"/>
        <w:ind w:firstLine="3578" w:firstLineChars="1491"/>
        <w:jc w:val="left"/>
        <w:rPr>
          <w:rFonts w:hint="default" w:ascii="Times New Roman" w:hAnsi="Times New Roman" w:eastAsia="宋体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联系电话：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</w:t>
      </w:r>
    </w:p>
    <w:p w14:paraId="682FFCFB">
      <w:pPr>
        <w:adjustRightInd w:val="0"/>
        <w:spacing w:line="360" w:lineRule="auto"/>
        <w:ind w:firstLine="3578" w:firstLineChars="1491"/>
        <w:jc w:val="left"/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 xml:space="preserve">日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 xml:space="preserve"> 期：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年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月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日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77791A">
    <w:pPr>
      <w:pStyle w:val="5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3MjIzNWMxY2NiOTdhZTA0ZmM2NDJhNzQwNDZkZmYifQ=="/>
  </w:docVars>
  <w:rsids>
    <w:rsidRoot w:val="00000000"/>
    <w:rsid w:val="0EC96B12"/>
    <w:rsid w:val="27A40BE5"/>
    <w:rsid w:val="2EDA7F57"/>
    <w:rsid w:val="34193C9E"/>
    <w:rsid w:val="37F17BF7"/>
    <w:rsid w:val="3AFC4821"/>
    <w:rsid w:val="3DCC5129"/>
    <w:rsid w:val="672A1D24"/>
    <w:rsid w:val="68BF1C15"/>
    <w:rsid w:val="723104F0"/>
    <w:rsid w:val="76426754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  <w:rPr>
      <w:rFonts w:ascii="Calibri" w:hAnsi="Calibri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Body Text"/>
    <w:basedOn w:val="1"/>
    <w:next w:val="1"/>
    <w:autoRedefine/>
    <w:qFormat/>
    <w:uiPriority w:val="0"/>
    <w:pPr>
      <w:spacing w:after="120"/>
    </w:p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Quote"/>
    <w:basedOn w:val="1"/>
    <w:next w:val="1"/>
    <w:autoRedefine/>
    <w:qFormat/>
    <w:uiPriority w:val="0"/>
    <w:pPr>
      <w:widowControl/>
      <w:jc w:val="left"/>
    </w:pPr>
    <w:rPr>
      <w:i/>
      <w:iCs/>
      <w:color w:val="000000"/>
      <w:kern w:val="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382</Words>
  <Characters>414</Characters>
  <Lines>0</Lines>
  <Paragraphs>0</Paragraphs>
  <TotalTime>8</TotalTime>
  <ScaleCrop>false</ScaleCrop>
  <LinksUpToDate>false</LinksUpToDate>
  <CharactersWithSpaces>460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橙橙橙橙</cp:lastModifiedBy>
  <cp:lastPrinted>2025-08-04T01:59:04Z</cp:lastPrinted>
  <dcterms:modified xsi:type="dcterms:W3CDTF">2025-08-04T02:06:13Z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4252E4429DC8463B812D313AFB65576B_12</vt:lpwstr>
  </property>
  <property fmtid="{D5CDD505-2E9C-101B-9397-08002B2CF9AE}" pid="4" name="KSOTemplateDocerSaveRecord">
    <vt:lpwstr>eyJoZGlkIjoiY2EzMTdiZjdhYWZkMTEzYjNkMGQ0Mjg5NWE5NTIxNDMiLCJ1c2VySWQiOiIxNTgyNzQyNzY1In0=</vt:lpwstr>
  </property>
</Properties>
</file>