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B013EB">
      <w:pPr>
        <w:ind w:firstLine="6325" w:firstLineChars="3000"/>
        <w:rPr>
          <w:b/>
          <w:bCs/>
        </w:rPr>
      </w:pPr>
      <w:r>
        <w:rPr>
          <w:rFonts w:hint="eastAsia"/>
          <w:b/>
          <w:bCs/>
        </w:rPr>
        <w:t>合同编号：</w:t>
      </w:r>
    </w:p>
    <w:p w14:paraId="1E5F4BE9">
      <w:pPr>
        <w:jc w:val="center"/>
        <w:rPr>
          <w:rFonts w:ascii="黑体" w:hAnsi="黑体" w:eastAsia="黑体" w:cs="黑体"/>
          <w:b/>
          <w:bCs/>
          <w:spacing w:val="34"/>
          <w:sz w:val="44"/>
          <w:szCs w:val="44"/>
        </w:rPr>
      </w:pPr>
    </w:p>
    <w:p w14:paraId="1BF68554">
      <w:pPr>
        <w:jc w:val="center"/>
        <w:rPr>
          <w:rFonts w:ascii="黑体" w:hAnsi="黑体" w:eastAsia="黑体" w:cs="黑体"/>
          <w:b/>
          <w:bCs/>
          <w:spacing w:val="34"/>
          <w:sz w:val="44"/>
          <w:szCs w:val="44"/>
        </w:rPr>
      </w:pPr>
    </w:p>
    <w:p w14:paraId="370DAEA9">
      <w:pPr>
        <w:jc w:val="center"/>
        <w:rPr>
          <w:rFonts w:ascii="黑体" w:hAnsi="黑体" w:eastAsia="黑体" w:cs="黑体"/>
          <w:b/>
          <w:bCs/>
          <w:spacing w:val="34"/>
          <w:sz w:val="44"/>
          <w:szCs w:val="44"/>
        </w:rPr>
      </w:pPr>
    </w:p>
    <w:p w14:paraId="7EA63B8A">
      <w:pPr>
        <w:pStyle w:val="2"/>
        <w:rPr>
          <w:rFonts w:ascii="黑体" w:hAnsi="黑体" w:eastAsia="黑体" w:cs="黑体"/>
          <w:b/>
          <w:bCs/>
          <w:spacing w:val="34"/>
          <w:sz w:val="44"/>
          <w:szCs w:val="44"/>
        </w:rPr>
      </w:pPr>
    </w:p>
    <w:p w14:paraId="0A6288D3">
      <w:pPr>
        <w:rPr>
          <w:rFonts w:ascii="黑体" w:hAnsi="黑体" w:eastAsia="黑体" w:cs="黑体"/>
          <w:b/>
          <w:bCs/>
          <w:spacing w:val="34"/>
          <w:sz w:val="44"/>
          <w:szCs w:val="44"/>
        </w:rPr>
      </w:pPr>
    </w:p>
    <w:p w14:paraId="4F3595A8">
      <w:pPr>
        <w:pStyle w:val="2"/>
        <w:rPr>
          <w:rFonts w:ascii="黑体" w:hAnsi="黑体" w:eastAsia="黑体" w:cs="黑体"/>
          <w:b/>
          <w:bCs/>
          <w:spacing w:val="34"/>
          <w:sz w:val="44"/>
          <w:szCs w:val="44"/>
        </w:rPr>
      </w:pPr>
    </w:p>
    <w:p w14:paraId="3AB9FBF1">
      <w:pPr>
        <w:jc w:val="center"/>
        <w:rPr>
          <w:rFonts w:ascii="宋体" w:hAnsi="宋体" w:cs="宋体"/>
          <w:b/>
          <w:bCs/>
          <w:spacing w:val="34"/>
          <w:sz w:val="44"/>
          <w:szCs w:val="44"/>
        </w:rPr>
      </w:pPr>
      <w:r>
        <w:rPr>
          <w:rFonts w:hint="eastAsia" w:ascii="宋体" w:hAnsi="宋体" w:cs="宋体"/>
          <w:b/>
          <w:bCs/>
          <w:spacing w:val="0"/>
          <w:sz w:val="44"/>
          <w:szCs w:val="44"/>
          <w:lang w:val="en-US" w:eastAsia="zh-CN"/>
        </w:rPr>
        <w:t>XXX</w:t>
      </w:r>
      <w:r>
        <w:rPr>
          <w:rFonts w:hint="eastAsia" w:ascii="宋体" w:hAnsi="宋体" w:cs="宋体"/>
          <w:b/>
          <w:bCs/>
          <w:spacing w:val="0"/>
          <w:sz w:val="44"/>
          <w:szCs w:val="44"/>
        </w:rPr>
        <w:t>项目节能</w:t>
      </w:r>
      <w:r>
        <w:rPr>
          <w:rFonts w:hint="eastAsia" w:ascii="宋体" w:hAnsi="宋体" w:cs="宋体"/>
          <w:b/>
          <w:bCs/>
          <w:spacing w:val="0"/>
          <w:sz w:val="44"/>
          <w:szCs w:val="44"/>
          <w:lang w:eastAsia="zh-CN"/>
        </w:rPr>
        <w:t>验收</w:t>
      </w:r>
      <w:r>
        <w:rPr>
          <w:rFonts w:hint="eastAsia" w:ascii="宋体" w:hAnsi="宋体" w:cs="宋体"/>
          <w:b/>
          <w:bCs/>
          <w:spacing w:val="0"/>
          <w:sz w:val="44"/>
          <w:szCs w:val="44"/>
          <w:lang w:val="en-US" w:eastAsia="zh-CN"/>
        </w:rPr>
        <w:t>服务</w:t>
      </w:r>
      <w:r>
        <w:rPr>
          <w:rFonts w:hint="eastAsia" w:ascii="宋体" w:hAnsi="宋体" w:cs="宋体"/>
          <w:b/>
          <w:bCs/>
          <w:spacing w:val="0"/>
          <w:sz w:val="44"/>
          <w:szCs w:val="44"/>
        </w:rPr>
        <w:t>合同</w:t>
      </w:r>
    </w:p>
    <w:p w14:paraId="0D833A5D">
      <w:pPr>
        <w:jc w:val="center"/>
        <w:rPr>
          <w:rFonts w:ascii="宋体" w:hAnsi="宋体" w:cs="宋体"/>
          <w:b/>
          <w:bCs/>
          <w:spacing w:val="34"/>
          <w:sz w:val="44"/>
          <w:szCs w:val="44"/>
        </w:rPr>
      </w:pPr>
    </w:p>
    <w:p w14:paraId="2752573C">
      <w:pPr>
        <w:spacing w:line="300" w:lineRule="auto"/>
        <w:ind w:firstLine="1449" w:firstLineChars="328"/>
        <w:rPr>
          <w:rFonts w:ascii="宋体" w:hAnsi="宋体" w:cs="宋体"/>
          <w:bCs/>
          <w:kern w:val="0"/>
          <w:sz w:val="24"/>
          <w:u w:val="single"/>
        </w:rPr>
      </w:pPr>
      <w:r>
        <w:rPr>
          <w:rFonts w:hint="eastAsia" w:ascii="宋体" w:hAnsi="宋体" w:cs="宋体"/>
          <w:b/>
          <w:sz w:val="44"/>
        </w:rPr>
        <w:tab/>
      </w:r>
      <w:r>
        <w:rPr>
          <w:rFonts w:hint="eastAsia" w:ascii="宋体" w:hAnsi="宋体" w:cs="宋体"/>
          <w:b/>
          <w:sz w:val="44"/>
        </w:rPr>
        <w:t xml:space="preserve">                 </w:t>
      </w:r>
    </w:p>
    <w:p w14:paraId="74D7E36D">
      <w:pPr>
        <w:tabs>
          <w:tab w:val="left" w:pos="6039"/>
        </w:tabs>
        <w:rPr>
          <w:rFonts w:ascii="宋体" w:hAnsi="宋体" w:cs="宋体"/>
          <w:bCs/>
          <w:sz w:val="44"/>
        </w:rPr>
      </w:pPr>
    </w:p>
    <w:p w14:paraId="3CE9776F">
      <w:pPr>
        <w:tabs>
          <w:tab w:val="left" w:pos="6039"/>
        </w:tabs>
        <w:rPr>
          <w:rFonts w:ascii="宋体" w:hAnsi="宋体" w:cs="宋体"/>
          <w:bCs/>
          <w:sz w:val="44"/>
        </w:rPr>
      </w:pPr>
    </w:p>
    <w:p w14:paraId="0C726EB8">
      <w:pPr>
        <w:spacing w:line="300" w:lineRule="auto"/>
        <w:ind w:left="3054" w:hanging="3054" w:hangingChars="895"/>
        <w:rPr>
          <w:rFonts w:ascii="宋体" w:hAnsi="宋体" w:cs="宋体"/>
          <w:b/>
          <w:spacing w:val="10"/>
          <w:sz w:val="32"/>
        </w:rPr>
      </w:pPr>
      <w:r>
        <w:rPr>
          <w:rFonts w:hint="eastAsia" w:ascii="宋体" w:hAnsi="宋体" w:cs="宋体"/>
          <w:b/>
          <w:spacing w:val="10"/>
          <w:sz w:val="32"/>
        </w:rPr>
        <w:t xml:space="preserve">     </w:t>
      </w:r>
    </w:p>
    <w:p w14:paraId="473FA7C3">
      <w:pPr>
        <w:pStyle w:val="2"/>
        <w:rPr>
          <w:b/>
          <w:spacing w:val="10"/>
          <w:sz w:val="32"/>
        </w:rPr>
      </w:pPr>
    </w:p>
    <w:p w14:paraId="2816A67E">
      <w:pPr>
        <w:rPr>
          <w:rFonts w:ascii="宋体" w:hAnsi="宋体" w:cs="宋体"/>
          <w:b/>
          <w:spacing w:val="10"/>
          <w:sz w:val="32"/>
        </w:rPr>
      </w:pPr>
    </w:p>
    <w:p w14:paraId="532A797F">
      <w:pPr>
        <w:pStyle w:val="2"/>
      </w:pPr>
    </w:p>
    <w:p w14:paraId="6FF5E264">
      <w:pPr>
        <w:pStyle w:val="2"/>
      </w:pPr>
    </w:p>
    <w:p w14:paraId="612054E0">
      <w:pPr>
        <w:spacing w:line="300" w:lineRule="auto"/>
        <w:rPr>
          <w:rFonts w:ascii="宋体" w:hAnsi="宋体" w:cs="宋体"/>
          <w:b/>
          <w:sz w:val="30"/>
          <w:szCs w:val="30"/>
        </w:rPr>
      </w:pPr>
      <w:r>
        <w:rPr>
          <w:rFonts w:ascii="宋体" w:hAnsi="宋体" w:cs="宋体"/>
          <w:b/>
          <w:sz w:val="30"/>
          <w:szCs w:val="30"/>
        </w:rPr>
        <w:t xml:space="preserve">      </w:t>
      </w:r>
      <w:r>
        <w:rPr>
          <w:rFonts w:hint="eastAsia" w:ascii="宋体" w:hAnsi="宋体" w:cs="宋体"/>
          <w:b/>
          <w:sz w:val="30"/>
          <w:szCs w:val="30"/>
        </w:rPr>
        <w:t>委托方（甲方）：</w:t>
      </w:r>
    </w:p>
    <w:p w14:paraId="47DEC01C">
      <w:pPr>
        <w:spacing w:line="300" w:lineRule="auto"/>
        <w:ind w:firstLine="904" w:firstLineChars="300"/>
        <w:rPr>
          <w:rFonts w:ascii="宋体" w:hAnsi="宋体" w:cs="宋体"/>
          <w:b/>
          <w:sz w:val="30"/>
          <w:szCs w:val="30"/>
        </w:rPr>
      </w:pPr>
    </w:p>
    <w:p w14:paraId="4CF37071">
      <w:pPr>
        <w:spacing w:line="300" w:lineRule="auto"/>
        <w:ind w:firstLine="904" w:firstLineChars="300"/>
        <w:rPr>
          <w:rFonts w:ascii="宋体" w:hAnsi="宋体" w:cs="宋体"/>
          <w:b/>
          <w:sz w:val="30"/>
          <w:szCs w:val="30"/>
          <w:u w:val="single"/>
        </w:rPr>
      </w:pPr>
      <w:r>
        <w:rPr>
          <w:rFonts w:hint="eastAsia" w:ascii="宋体" w:hAnsi="宋体" w:cs="宋体"/>
          <w:b/>
          <w:sz w:val="30"/>
          <w:szCs w:val="30"/>
        </w:rPr>
        <w:t>承接方（乙方）：</w:t>
      </w:r>
    </w:p>
    <w:p w14:paraId="54EFA412">
      <w:pPr>
        <w:spacing w:line="300" w:lineRule="auto"/>
        <w:ind w:firstLine="988" w:firstLineChars="328"/>
        <w:rPr>
          <w:rFonts w:ascii="黑体" w:hAnsi="黑体" w:eastAsia="黑体" w:cs="黑体"/>
          <w:sz w:val="28"/>
        </w:rPr>
      </w:pPr>
      <w:r>
        <w:rPr>
          <w:rFonts w:hint="eastAsia" w:ascii="黑体" w:hAnsi="黑体" w:eastAsia="黑体" w:cs="黑体"/>
          <w:b/>
          <w:sz w:val="30"/>
          <w:szCs w:val="30"/>
        </w:rPr>
        <w:t xml:space="preserve">      </w:t>
      </w:r>
    </w:p>
    <w:p w14:paraId="50595943">
      <w:pPr>
        <w:spacing w:line="300" w:lineRule="auto"/>
        <w:rPr>
          <w:b/>
          <w:sz w:val="32"/>
        </w:rPr>
      </w:pPr>
      <w:r>
        <w:rPr>
          <w:rFonts w:hint="eastAsia"/>
          <w:b/>
          <w:sz w:val="32"/>
        </w:rPr>
        <w:t xml:space="preserve">      </w:t>
      </w:r>
      <w:r>
        <w:rPr>
          <w:b/>
          <w:sz w:val="32"/>
        </w:rPr>
        <w:t xml:space="preserve">签 </w:t>
      </w:r>
      <w:r>
        <w:rPr>
          <w:rFonts w:hint="eastAsia"/>
          <w:b/>
          <w:sz w:val="32"/>
        </w:rPr>
        <w:t>订</w:t>
      </w:r>
      <w:r>
        <w:rPr>
          <w:b/>
          <w:sz w:val="32"/>
        </w:rPr>
        <w:t xml:space="preserve"> 日 期：</w:t>
      </w:r>
      <w:r>
        <w:rPr>
          <w:rFonts w:hint="eastAsia"/>
          <w:b/>
          <w:sz w:val="32"/>
        </w:rPr>
        <w:t xml:space="preserve"> 202</w:t>
      </w:r>
      <w:r>
        <w:rPr>
          <w:rFonts w:hint="eastAsia"/>
          <w:b/>
          <w:sz w:val="32"/>
          <w:lang w:val="en-US" w:eastAsia="zh-CN"/>
        </w:rPr>
        <w:t xml:space="preserve"> </w:t>
      </w:r>
      <w:r>
        <w:rPr>
          <w:rFonts w:hint="eastAsia"/>
          <w:b/>
          <w:sz w:val="32"/>
        </w:rPr>
        <w:t xml:space="preserve"> </w:t>
      </w:r>
      <w:r>
        <w:rPr>
          <w:b/>
          <w:sz w:val="32"/>
        </w:rPr>
        <w:t xml:space="preserve">年  </w:t>
      </w:r>
      <w:r>
        <w:rPr>
          <w:rFonts w:hint="eastAsia"/>
          <w:b/>
          <w:sz w:val="32"/>
          <w:lang w:val="en-US" w:eastAsia="zh-CN"/>
        </w:rPr>
        <w:t xml:space="preserve"> </w:t>
      </w:r>
      <w:r>
        <w:rPr>
          <w:rFonts w:hint="eastAsia"/>
          <w:b/>
          <w:sz w:val="32"/>
        </w:rPr>
        <w:t xml:space="preserve"> </w:t>
      </w:r>
      <w:r>
        <w:rPr>
          <w:b/>
          <w:sz w:val="32"/>
        </w:rPr>
        <w:t xml:space="preserve">月 </w:t>
      </w:r>
      <w:r>
        <w:rPr>
          <w:rFonts w:hint="eastAsia"/>
          <w:b/>
          <w:sz w:val="32"/>
        </w:rPr>
        <w:t xml:space="preserve">   </w:t>
      </w:r>
      <w:r>
        <w:rPr>
          <w:b/>
          <w:sz w:val="32"/>
        </w:rPr>
        <w:t xml:space="preserve"> 日</w:t>
      </w:r>
    </w:p>
    <w:p w14:paraId="4C582B80">
      <w:pPr>
        <w:spacing w:line="300" w:lineRule="auto"/>
        <w:rPr>
          <w:b/>
          <w:sz w:val="32"/>
        </w:rPr>
      </w:pPr>
    </w:p>
    <w:p w14:paraId="7F327199">
      <w:pPr>
        <w:sectPr>
          <w:footerReference r:id="rId3" w:type="default"/>
          <w:footerReference r:id="rId4" w:type="even"/>
          <w:pgSz w:w="11906" w:h="16838"/>
          <w:pgMar w:top="1361" w:right="1612" w:bottom="1134" w:left="1474" w:header="851" w:footer="992" w:gutter="0"/>
          <w:cols w:space="720" w:num="1"/>
          <w:docGrid w:type="lines" w:linePitch="312" w:charSpace="0"/>
        </w:sectPr>
      </w:pPr>
    </w:p>
    <w:p w14:paraId="4C2EB3D7">
      <w:pPr>
        <w:spacing w:line="360" w:lineRule="auto"/>
        <w:rPr>
          <w:bCs/>
          <w:kern w:val="0"/>
          <w:sz w:val="24"/>
          <w:u w:val="single"/>
        </w:rPr>
      </w:pPr>
      <w:r>
        <w:rPr>
          <w:rFonts w:hint="eastAsia"/>
          <w:bCs/>
          <w:sz w:val="24"/>
        </w:rPr>
        <w:t xml:space="preserve">                                </w:t>
      </w:r>
    </w:p>
    <w:p w14:paraId="0A626165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甲方（全称）：</w:t>
      </w:r>
    </w:p>
    <w:p w14:paraId="3F3ABF22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spacing w:beforeLines="-2147483648" w:afterLines="-2147483648" w:line="480" w:lineRule="auto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4"/>
        </w:rPr>
      </w:pPr>
      <w:r>
        <w:rPr>
          <w:rFonts w:hint="eastAsia" w:ascii="宋体" w:hAnsi="宋体" w:eastAsia="宋体" w:cs="宋体"/>
          <w:sz w:val="24"/>
        </w:rPr>
        <w:t>乙方（全称）：</w:t>
      </w:r>
    </w:p>
    <w:p w14:paraId="67FB1695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根据《中华人民共和国民法典》及其有关法律、法规，遵循平等、自愿、公平和诚实信用的原则，双方就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>江湾府项目</w:t>
      </w:r>
      <w:r>
        <w:rPr>
          <w:rFonts w:hint="eastAsia" w:ascii="宋体" w:hAnsi="宋体" w:eastAsia="宋体" w:cs="宋体"/>
          <w:sz w:val="24"/>
          <w:u w:val="single"/>
        </w:rPr>
        <w:t>(以下简称项目)的节能</w:t>
      </w:r>
      <w:r>
        <w:rPr>
          <w:rFonts w:hint="eastAsia" w:ascii="宋体" w:hAnsi="宋体" w:cs="宋体"/>
          <w:sz w:val="24"/>
          <w:u w:val="single"/>
          <w:lang w:eastAsia="zh-CN"/>
        </w:rPr>
        <w:t>验收</w:t>
      </w:r>
      <w:r>
        <w:rPr>
          <w:rFonts w:hint="eastAsia" w:ascii="宋体" w:hAnsi="宋体" w:cs="宋体"/>
          <w:sz w:val="24"/>
          <w:u w:val="single"/>
          <w:lang w:val="en-US" w:eastAsia="zh-CN"/>
        </w:rPr>
        <w:t>服务</w:t>
      </w:r>
      <w:r>
        <w:rPr>
          <w:rFonts w:hint="eastAsia" w:ascii="宋体" w:hAnsi="宋体" w:eastAsia="宋体" w:cs="宋体"/>
          <w:sz w:val="24"/>
        </w:rPr>
        <w:t>协商一致，并达成合同如下：</w:t>
      </w:r>
    </w:p>
    <w:p w14:paraId="2C1F0A1A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textAlignment w:val="auto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一、项目概况</w:t>
      </w:r>
    </w:p>
    <w:p w14:paraId="496FF7A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sz w:val="24"/>
        </w:rPr>
        <w:t>1、项目名称：</w:t>
      </w:r>
      <w:r>
        <w:rPr>
          <w:rFonts w:hint="eastAsia" w:ascii="宋体" w:hAnsi="宋体" w:cs="宋体"/>
          <w:sz w:val="24"/>
          <w:u w:val="single"/>
          <w:lang w:eastAsia="zh-CN"/>
        </w:rPr>
        <w:t>江湾府项目。</w:t>
      </w:r>
    </w:p>
    <w:p w14:paraId="457518DD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</w:rPr>
        <w:t>2、建设地点：</w:t>
      </w:r>
      <w:r>
        <w:rPr>
          <w:rFonts w:hint="eastAsia" w:ascii="宋体" w:hAnsi="宋体" w:cs="宋体"/>
          <w:sz w:val="24"/>
          <w:u w:val="single"/>
          <w:lang w:eastAsia="zh-CN"/>
        </w:rPr>
        <w:t>广汉市。</w:t>
      </w:r>
    </w:p>
    <w:p w14:paraId="25150710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3、</w:t>
      </w:r>
      <w:r>
        <w:rPr>
          <w:rFonts w:hint="eastAsia" w:ascii="宋体" w:hAnsi="宋体" w:eastAsia="宋体" w:cs="宋体"/>
          <w:sz w:val="24"/>
          <w:lang w:val="en-US" w:eastAsia="zh-CN"/>
        </w:rPr>
        <w:t>建设</w:t>
      </w:r>
      <w:r>
        <w:rPr>
          <w:rFonts w:hint="eastAsia" w:ascii="宋体" w:hAnsi="宋体" w:eastAsia="宋体" w:cs="宋体"/>
          <w:sz w:val="24"/>
        </w:rPr>
        <w:t>规模：</w:t>
      </w:r>
      <w:r>
        <w:rPr>
          <w:rFonts w:hint="eastAsia" w:ascii="宋体" w:hAnsi="宋体" w:cs="宋体"/>
          <w:sz w:val="24"/>
          <w:u w:val="single"/>
          <w:lang w:eastAsia="zh-CN"/>
        </w:rPr>
        <w:t>本项目位于德阳高新区环璧南路与环湖南路之间，占地82.67亩，容积率2.0，建筑密度16.71%，绿地率31.79%，建筑高度69.90米，总建筑面积147314.06㎡（其中地上建筑面积（计容建筑面积约110224.59㎡，不计容面积528.06㎡），地下建筑面积约30872.34㎡）；由4栋23层住宅、1栋22层住宅、7栋17层住宅、6栋12层住宅、1栋1+1层配套用房、地下1层地下室组成，共19栋，700户。</w:t>
      </w:r>
    </w:p>
    <w:p w14:paraId="308AD710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textAlignment w:val="auto"/>
        <w:rPr>
          <w:rFonts w:hint="eastAsia" w:ascii="宋体" w:hAnsi="宋体" w:eastAsia="宋体" w:cs="宋体"/>
          <w:b/>
          <w:bCs/>
          <w:sz w:val="24"/>
          <w:u w:val="single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</w:rPr>
        <w:t>二、工作内容</w:t>
      </w:r>
      <w:r>
        <w:rPr>
          <w:rFonts w:hint="eastAsia" w:ascii="宋体" w:hAnsi="宋体" w:cs="宋体"/>
          <w:b/>
          <w:bCs/>
          <w:sz w:val="24"/>
          <w:lang w:eastAsia="zh-CN"/>
        </w:rPr>
        <w:t>、要求及服务期限</w:t>
      </w:r>
    </w:p>
    <w:p w14:paraId="69B046A6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1、服务内容：</w:t>
      </w:r>
      <w:r>
        <w:rPr>
          <w:rFonts w:hint="eastAsia" w:ascii="宋体" w:hAnsi="宋体" w:eastAsia="宋体" w:cs="宋体"/>
          <w:sz w:val="24"/>
        </w:rPr>
        <w:t>乙方应根据甲方提供的项目资料和相关节能标准，对甲方的项目进行节能验收</w:t>
      </w:r>
      <w:r>
        <w:rPr>
          <w:rFonts w:hint="eastAsia" w:ascii="宋体" w:hAnsi="宋体" w:eastAsia="宋体" w:cs="宋体"/>
          <w:sz w:val="24"/>
          <w:lang w:eastAsia="zh-CN"/>
        </w:rPr>
        <w:t>，</w:t>
      </w:r>
      <w:r>
        <w:rPr>
          <w:rFonts w:hint="eastAsia" w:ascii="宋体" w:hAnsi="宋体" w:eastAsia="宋体" w:cs="宋体"/>
          <w:sz w:val="24"/>
        </w:rPr>
        <w:t>编制验收报告并完成主管部门备案。</w:t>
      </w:r>
    </w:p>
    <w:p w14:paraId="13B845EE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2、验收标准：乙方进行节能验收应遵循国家及地方相关节能法规、标准和规范。</w:t>
      </w:r>
    </w:p>
    <w:p w14:paraId="603B9C9C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3、服务期限：提供齐全项目相关资料后15天。</w:t>
      </w:r>
    </w:p>
    <w:p w14:paraId="66BDB60D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三、</w:t>
      </w:r>
      <w:r>
        <w:rPr>
          <w:rFonts w:hint="eastAsia" w:ascii="宋体" w:hAnsi="宋体" w:eastAsia="宋体" w:cs="宋体"/>
          <w:b/>
          <w:sz w:val="24"/>
          <w:szCs w:val="24"/>
        </w:rPr>
        <w:t>服务费用及支付方式</w:t>
      </w:r>
    </w:p>
    <w:p w14:paraId="1B56DF39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2" w:firstLineChars="200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一</w:t>
      </w: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sz w:val="24"/>
          <w:szCs w:val="24"/>
        </w:rPr>
        <w:t>本项目服务费用由以下组成：</w:t>
      </w:r>
    </w:p>
    <w:p w14:paraId="5111B690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本合同成交金额为：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元整（大写：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含税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），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税率：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税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金：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</w:rPr>
        <w:t>。</w:t>
      </w:r>
      <w:r>
        <w:rPr>
          <w:rFonts w:hint="eastAsia"/>
          <w:color w:val="auto"/>
          <w:spacing w:val="3"/>
          <w:sz w:val="24"/>
          <w:szCs w:val="24"/>
        </w:rPr>
        <w:t>（税率*%，增值税税率根据国家现行政策执行</w:t>
      </w:r>
      <w:r>
        <w:rPr>
          <w:rFonts w:hint="eastAsia"/>
          <w:color w:val="auto"/>
          <w:spacing w:val="3"/>
          <w:sz w:val="24"/>
          <w:szCs w:val="24"/>
          <w:lang w:eastAsia="zh-CN"/>
        </w:rPr>
        <w:t>，</w:t>
      </w:r>
      <w:r>
        <w:rPr>
          <w:rFonts w:hint="eastAsia"/>
          <w:color w:val="auto"/>
          <w:spacing w:val="3"/>
          <w:sz w:val="24"/>
          <w:szCs w:val="24"/>
        </w:rPr>
        <w:t>只调整税金额度</w:t>
      </w:r>
      <w:r>
        <w:rPr>
          <w:rFonts w:hint="eastAsia"/>
          <w:color w:val="auto"/>
          <w:spacing w:val="3"/>
          <w:sz w:val="24"/>
          <w:szCs w:val="24"/>
          <w:lang w:eastAsia="zh-CN"/>
        </w:rPr>
        <w:t>，</w:t>
      </w:r>
      <w:r>
        <w:rPr>
          <w:rFonts w:hint="eastAsia"/>
          <w:color w:val="auto"/>
          <w:spacing w:val="3"/>
          <w:sz w:val="24"/>
          <w:szCs w:val="24"/>
        </w:rPr>
        <w:t>不调整不含税价款）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该费用为包干费用，包括但不限于编制、评审、会务费、人工费、材料费、交通费、差旅费、税费、利润、保险费用等为完成本项目约定服务的所有费用，以及后续服务费。除此之外，乙方不得要求甲方支付任何费用</w:t>
      </w:r>
      <w:r>
        <w:rPr>
          <w:rFonts w:hint="eastAsia" w:ascii="宋体" w:hAnsi="宋体" w:eastAsia="宋体" w:cs="宋体"/>
          <w:b/>
          <w:sz w:val="24"/>
          <w:szCs w:val="24"/>
        </w:rPr>
        <w:t>。</w:t>
      </w:r>
    </w:p>
    <w:p w14:paraId="0EAAA6C8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2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pacing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spacing w:val="0"/>
          <w:sz w:val="24"/>
          <w:szCs w:val="24"/>
          <w:lang w:val="en-US" w:eastAsia="zh-CN"/>
        </w:rPr>
        <w:t>二</w:t>
      </w:r>
      <w:r>
        <w:rPr>
          <w:rFonts w:hint="eastAsia" w:ascii="宋体" w:hAnsi="宋体" w:eastAsia="宋体" w:cs="宋体"/>
          <w:b/>
          <w:spacing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费用</w:t>
      </w:r>
      <w:r>
        <w:rPr>
          <w:rFonts w:hint="eastAsia" w:ascii="宋体" w:hAnsi="宋体" w:eastAsia="宋体" w:cs="宋体"/>
          <w:b/>
          <w:sz w:val="24"/>
          <w:szCs w:val="24"/>
        </w:rPr>
        <w:t>支付方式</w:t>
      </w:r>
    </w:p>
    <w:p w14:paraId="550A0C4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snapToGrid w:val="0"/>
        <w:spacing w:line="48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1、乙方按照相关要求规定，完成合同约定全部内容，向甲方提交服务成果，经甲方确认，同时完成主管部门备案后15个工作日内一次性支付相关费用。</w:t>
      </w:r>
    </w:p>
    <w:p w14:paraId="5861B4D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snapToGrid w:val="0"/>
        <w:spacing w:line="48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2、付款前，乙方需向甲方出具等额合法有效的增值税专用发票。若因乙方原因未及时提供发票或提供发票不合格，甲方支付时间顺延，且不承担迟延支付的违约责任。</w:t>
      </w:r>
    </w:p>
    <w:p w14:paraId="6C0DAB3E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乙方指定收款银行账户如下：</w:t>
      </w:r>
    </w:p>
    <w:p w14:paraId="6A8569A4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户名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xx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有限公司</w:t>
      </w:r>
    </w:p>
    <w:p w14:paraId="7EE5F357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纳税人识别号：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xxxxx</w:t>
      </w:r>
    </w:p>
    <w:p w14:paraId="66F43BFA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地址、电话：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xxxxx   xxxxx</w:t>
      </w:r>
    </w:p>
    <w:p w14:paraId="4E554EAD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开户行及账号：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xxxxx   xxxxx</w:t>
      </w:r>
    </w:p>
    <w:p w14:paraId="4F3A64C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四、甲方的权利和义务</w:t>
      </w:r>
    </w:p>
    <w:p w14:paraId="1A0044F8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1、按合同约定，要求乙方完成委托项目的节能</w:t>
      </w:r>
      <w:r>
        <w:rPr>
          <w:rFonts w:hint="eastAsia" w:ascii="宋体" w:hAnsi="宋体" w:cs="宋体"/>
          <w:sz w:val="24"/>
          <w:szCs w:val="24"/>
          <w:lang w:eastAsia="zh-CN"/>
        </w:rPr>
        <w:t>验收</w:t>
      </w:r>
      <w:r>
        <w:rPr>
          <w:rFonts w:hint="eastAsia" w:ascii="宋体" w:hAnsi="宋体" w:eastAsia="宋体" w:cs="宋体"/>
          <w:sz w:val="24"/>
          <w:szCs w:val="24"/>
        </w:rPr>
        <w:t>报告编制工作并接收项目成果；</w:t>
      </w:r>
    </w:p>
    <w:p w14:paraId="342E2DD9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2、向乙方询问本合同项目工作进展情况和相关内容或提出建议；</w:t>
      </w:r>
    </w:p>
    <w:p w14:paraId="4BF5C69D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3、审查乙方编制的报告，并提出修改意见；</w:t>
      </w:r>
    </w:p>
    <w:p w14:paraId="7B34D960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4、甲方于合</w:t>
      </w:r>
      <w:r>
        <w:rPr>
          <w:rFonts w:hint="eastAsia" w:ascii="宋体" w:hAnsi="宋体" w:eastAsia="宋体" w:cs="宋体"/>
          <w:sz w:val="24"/>
          <w:szCs w:val="24"/>
          <w:u w:val="single"/>
        </w:rPr>
        <w:t>同生效后</w:t>
      </w:r>
      <w:r>
        <w:rPr>
          <w:rFonts w:hint="eastAsia" w:ascii="宋体" w:hAnsi="宋体" w:eastAsia="宋体" w:cs="宋体"/>
          <w:sz w:val="24"/>
          <w:szCs w:val="24"/>
        </w:rPr>
        <w:t>，向乙方提供本项目相关资料；</w:t>
      </w:r>
    </w:p>
    <w:p w14:paraId="31337A79">
      <w:pPr>
        <w:pStyle w:val="6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5、向乙方提供能满足完成项目编制工作的全部资料和图纸，对提供资料的真实性、完整性、准确性负责；</w:t>
      </w:r>
    </w:p>
    <w:p w14:paraId="71995FFA">
      <w:pPr>
        <w:pStyle w:val="6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6、根据需要，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做</w:t>
      </w:r>
      <w:r>
        <w:rPr>
          <w:rFonts w:hint="eastAsia" w:ascii="宋体" w:hAnsi="宋体" w:eastAsia="宋体" w:cs="宋体"/>
          <w:sz w:val="24"/>
          <w:szCs w:val="24"/>
        </w:rPr>
        <w:t>好与第三方的协调工作。</w:t>
      </w:r>
    </w:p>
    <w:p w14:paraId="284DFA84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napToGrid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7、按本合同条款约定的支付方式及时间向乙方支付工作报酬；</w:t>
      </w:r>
    </w:p>
    <w:p w14:paraId="568039F3">
      <w:pPr>
        <w:pStyle w:val="6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8、甲方不得提出违反法律、行政法规的要求。</w:t>
      </w:r>
    </w:p>
    <w:p w14:paraId="576210A5">
      <w:pPr>
        <w:pStyle w:val="6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9、其它应尽的义务和职责。</w:t>
      </w:r>
    </w:p>
    <w:p w14:paraId="3B272A5C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五、乙方的权利和义务</w:t>
      </w:r>
    </w:p>
    <w:p w14:paraId="746997BD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1、按合同约定收取服务费；</w:t>
      </w:r>
    </w:p>
    <w:p w14:paraId="4E8DB3F9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2、对项目报告编制过程中应由甲方做出的决定，乙方有权提出建议；</w:t>
      </w:r>
    </w:p>
    <w:p w14:paraId="266DE02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3、当甲方提供的资料不足或不明确时，有权书面提出补足资料</w:t>
      </w:r>
    </w:p>
    <w:p w14:paraId="45DC76F9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4、向甲方提交本项目节能</w:t>
      </w:r>
      <w:r>
        <w:rPr>
          <w:rFonts w:hint="eastAsia" w:ascii="宋体" w:hAnsi="宋体" w:cs="宋体"/>
          <w:sz w:val="24"/>
          <w:szCs w:val="24"/>
          <w:lang w:eastAsia="zh-CN"/>
        </w:rPr>
        <w:t>验收</w:t>
      </w:r>
      <w:r>
        <w:rPr>
          <w:rFonts w:hint="eastAsia" w:ascii="宋体" w:hAnsi="宋体" w:eastAsia="宋体" w:cs="宋体"/>
          <w:sz w:val="24"/>
          <w:szCs w:val="24"/>
        </w:rPr>
        <w:t>报告，乙方对于为本合同项目编制的所有报告拥有版权，甲方不得将报告转让或销售获利；</w:t>
      </w:r>
    </w:p>
    <w:p w14:paraId="2AFB0ECA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、乙方依法按照客观、科学、公正、高效和诚实信用原则，选择有足够经验的专业人员，在</w:t>
      </w:r>
      <w:r>
        <w:rPr>
          <w:rFonts w:hint="eastAsia" w:ascii="宋体" w:hAnsi="宋体" w:eastAsia="宋体" w:cs="宋体"/>
          <w:sz w:val="24"/>
          <w:szCs w:val="24"/>
          <w:u w:val="single"/>
        </w:rPr>
        <w:t>甲方提供齐全项目相关资料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后1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>5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eastAsia="zh-CN"/>
        </w:rPr>
        <w:t>天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内</w:t>
      </w:r>
      <w:r>
        <w:rPr>
          <w:rFonts w:hint="eastAsia" w:ascii="宋体" w:hAnsi="宋体" w:eastAsia="宋体" w:cs="宋体"/>
          <w:sz w:val="24"/>
          <w:szCs w:val="24"/>
        </w:rPr>
        <w:t>完成本项目的编制工作，并完成主管部门备案；</w:t>
      </w:r>
    </w:p>
    <w:p w14:paraId="78A67A81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</w:rPr>
        <w:t>、应对编制报告中的各种数据的计算、技术经济资料的科学性和正确性负责；</w:t>
      </w:r>
    </w:p>
    <w:p w14:paraId="1F1A1197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</w:rPr>
        <w:t>、乙方应对甲方提供的一切资料、数据予以保密，未经甲方书面同意不得向第三方透露；</w:t>
      </w:r>
    </w:p>
    <w:p w14:paraId="0126D25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</w:rPr>
        <w:t>、按照国家相关编制规范进行编制，保证节能章节和深度符合相关要求。</w:t>
      </w:r>
    </w:p>
    <w:p w14:paraId="3BC2CEFF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六、报告编撰标准</w:t>
      </w:r>
    </w:p>
    <w:p w14:paraId="4272B6CE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依据相关法律法规、项目编写规范及相关部门要求的格式进行编撰。</w:t>
      </w:r>
    </w:p>
    <w:p w14:paraId="63A8E825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N/>
        <w:bidi w:val="0"/>
        <w:spacing w:line="480" w:lineRule="auto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违约责任</w:t>
      </w:r>
    </w:p>
    <w:p w14:paraId="7F61D77B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1、如乙方未能在约定期限内完成验收工作，应向甲方支付违约金，违约金的数额为每逾期一天支付验收费用总额的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%。</w:t>
      </w:r>
    </w:p>
    <w:p w14:paraId="7DB40A13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sz w:val="24"/>
          <w:szCs w:val="24"/>
        </w:rPr>
        <w:t>因甲方未能取得项目核准必要的手续或设计不符合有关要求，造成成果文件无法完成，由甲方承担相关责任；</w:t>
      </w:r>
    </w:p>
    <w:p w14:paraId="3B82D7C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、因乙方文本编撰不符合要求，乙方负责补充修改相关内容；若补充修改后成果文件最终仍无法通过审核的，造成甲方损失的，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乙方</w:t>
      </w:r>
      <w:r>
        <w:rPr>
          <w:rFonts w:hint="eastAsia" w:ascii="宋体" w:hAnsi="宋体" w:eastAsia="宋体" w:cs="宋体"/>
          <w:sz w:val="24"/>
          <w:szCs w:val="24"/>
        </w:rPr>
        <w:t>应承担甲方全部损失赔偿责任，甲方损失包括但不限于甲方为主张权利产生的诉讼费、保全费、保全保险费、律师费、公证费、差旅费等全部费用。</w:t>
      </w:r>
    </w:p>
    <w:p w14:paraId="7D0C3F2B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八、合同变更和解除</w:t>
      </w:r>
    </w:p>
    <w:p w14:paraId="08DAF02C">
      <w:pPr>
        <w:pStyle w:val="2"/>
        <w:spacing w:line="480" w:lineRule="auto"/>
        <w:ind w:firstLine="481"/>
        <w:jc w:val="both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1</w:t>
      </w:r>
      <w:r>
        <w:rPr>
          <w:rFonts w:hint="eastAsia" w:ascii="宋体" w:hAnsi="宋体" w:cs="宋体"/>
          <w:kern w:val="2"/>
          <w:sz w:val="24"/>
          <w:szCs w:val="24"/>
          <w:lang w:val="en-US" w:eastAsia="zh-CN" w:bidi="ar-SA"/>
        </w:rPr>
        <w:t>、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因不可抗力导致合同无法履行的，双方可协商变更或解除合同。</w:t>
      </w:r>
    </w:p>
    <w:p w14:paraId="798F71BB">
      <w:pPr>
        <w:pStyle w:val="2"/>
        <w:spacing w:line="480" w:lineRule="auto"/>
        <w:ind w:firstLine="481"/>
        <w:jc w:val="both"/>
        <w:rPr>
          <w:rFonts w:hint="default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2</w:t>
      </w:r>
      <w:r>
        <w:rPr>
          <w:rFonts w:hint="eastAsia" w:ascii="宋体" w:hAnsi="宋体" w:cs="宋体"/>
          <w:kern w:val="2"/>
          <w:sz w:val="24"/>
          <w:szCs w:val="24"/>
          <w:lang w:val="en-US" w:eastAsia="zh-CN" w:bidi="ar-SA"/>
        </w:rPr>
        <w:t>、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任何一方需变更合同内容，应提前</w:t>
      </w:r>
      <w:r>
        <w:rPr>
          <w:rFonts w:hint="eastAsia" w:ascii="宋体" w:hAnsi="宋体" w:cs="宋体"/>
          <w:kern w:val="2"/>
          <w:sz w:val="24"/>
          <w:szCs w:val="24"/>
          <w:lang w:val="en-US" w:eastAsia="zh-CN" w:bidi="ar-SA"/>
        </w:rPr>
        <w:t>15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天书面通知对方，并经双方协商一致。</w:t>
      </w:r>
    </w:p>
    <w:p w14:paraId="7755B4CB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九、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争议的处理方式</w:t>
      </w:r>
    </w:p>
    <w:p w14:paraId="0F2CDF48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本合同在履行过程中发生的争执，应通过双方协商一致解决，协商不能达成一致意见，可按下列第（二）种方式解决。</w:t>
      </w:r>
    </w:p>
    <w:p w14:paraId="2B76F343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（一）提交/仲裁委员会仲裁；</w:t>
      </w:r>
    </w:p>
    <w:p w14:paraId="535E23D8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（二）依法向项目所在地人民法院起诉。</w:t>
      </w:r>
    </w:p>
    <w:p w14:paraId="6C589414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、其它</w:t>
      </w:r>
    </w:p>
    <w:p w14:paraId="7BA6EE00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1、本合同未详尽事宜，由双方当事人共同协商解决。</w:t>
      </w:r>
    </w:p>
    <w:p w14:paraId="0B49B727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2、本合同一式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</w:rPr>
        <w:t>份，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甲</w:t>
      </w:r>
      <w:r>
        <w:rPr>
          <w:rFonts w:hint="eastAsia" w:ascii="宋体" w:hAnsi="宋体" w:eastAsia="宋体" w:cs="宋体"/>
          <w:sz w:val="24"/>
          <w:szCs w:val="24"/>
        </w:rPr>
        <w:t>方执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</w:rPr>
        <w:t>份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乙</w:t>
      </w:r>
      <w:r>
        <w:rPr>
          <w:rFonts w:hint="eastAsia" w:ascii="宋体" w:hAnsi="宋体" w:eastAsia="宋体" w:cs="宋体"/>
          <w:sz w:val="24"/>
          <w:szCs w:val="24"/>
        </w:rPr>
        <w:t>方执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</w:rPr>
        <w:t>份。</w:t>
      </w:r>
    </w:p>
    <w:p w14:paraId="1DAC46C8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3、本合同</w:t>
      </w:r>
      <w:r>
        <w:rPr>
          <w:rFonts w:hint="eastAsia" w:ascii="宋体" w:hAnsi="宋体" w:cs="宋体"/>
          <w:sz w:val="24"/>
          <w:szCs w:val="24"/>
          <w:lang w:eastAsia="zh-CN"/>
        </w:rPr>
        <w:t>自成立时</w:t>
      </w:r>
      <w:r>
        <w:rPr>
          <w:rFonts w:hint="eastAsia" w:ascii="宋体" w:hAnsi="宋体" w:eastAsia="宋体" w:cs="宋体"/>
          <w:sz w:val="24"/>
          <w:szCs w:val="24"/>
        </w:rPr>
        <w:t>生效。</w:t>
      </w:r>
    </w:p>
    <w:p w14:paraId="7F992CC6"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 w14:paraId="4269FD57">
      <w:pPr>
        <w:rPr>
          <w:rFonts w:hint="eastAsia" w:ascii="宋体" w:hAnsi="宋体" w:eastAsia="宋体" w:cs="宋体"/>
          <w:sz w:val="24"/>
          <w:szCs w:val="24"/>
        </w:rPr>
      </w:pPr>
    </w:p>
    <w:p w14:paraId="33ACC465"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 w14:paraId="21F03C26">
      <w:pPr>
        <w:rPr>
          <w:rFonts w:hint="eastAsia" w:ascii="宋体" w:hAnsi="宋体" w:eastAsia="宋体" w:cs="宋体"/>
          <w:sz w:val="24"/>
          <w:szCs w:val="24"/>
        </w:rPr>
      </w:pPr>
    </w:p>
    <w:p w14:paraId="72379A4D"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 w14:paraId="7D87F7F0">
      <w:pPr>
        <w:rPr>
          <w:rFonts w:hint="eastAsia" w:ascii="宋体" w:hAnsi="宋体" w:eastAsia="宋体" w:cs="宋体"/>
          <w:sz w:val="24"/>
          <w:szCs w:val="24"/>
        </w:rPr>
      </w:pPr>
    </w:p>
    <w:p w14:paraId="0AAB3919"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 w14:paraId="6277116D">
      <w:pPr>
        <w:rPr>
          <w:rFonts w:hint="eastAsia" w:ascii="宋体" w:hAnsi="宋体" w:eastAsia="宋体" w:cs="宋体"/>
          <w:sz w:val="24"/>
          <w:szCs w:val="24"/>
        </w:rPr>
      </w:pPr>
    </w:p>
    <w:p w14:paraId="4B31AC7C"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 w14:paraId="4E2F3438">
      <w:pPr>
        <w:rPr>
          <w:rFonts w:hint="eastAsia" w:ascii="宋体" w:hAnsi="宋体" w:eastAsia="宋体" w:cs="宋体"/>
          <w:sz w:val="24"/>
          <w:szCs w:val="24"/>
        </w:rPr>
      </w:pPr>
    </w:p>
    <w:p w14:paraId="0B3AB19C"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 w14:paraId="2CFDF032">
      <w:pPr>
        <w:rPr>
          <w:rFonts w:hint="eastAsia" w:ascii="宋体" w:hAnsi="宋体" w:eastAsia="宋体" w:cs="宋体"/>
          <w:sz w:val="24"/>
          <w:szCs w:val="24"/>
        </w:rPr>
      </w:pPr>
    </w:p>
    <w:p w14:paraId="08C67028"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 w14:paraId="13BCC984">
      <w:pPr>
        <w:rPr>
          <w:rFonts w:hint="eastAsia" w:ascii="宋体" w:hAnsi="宋体" w:eastAsia="宋体" w:cs="宋体"/>
          <w:sz w:val="24"/>
          <w:szCs w:val="24"/>
        </w:rPr>
      </w:pPr>
    </w:p>
    <w:p w14:paraId="255B6928"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 w14:paraId="69F7BAF5">
      <w:pPr>
        <w:rPr>
          <w:rFonts w:hint="eastAsia" w:ascii="宋体" w:hAnsi="宋体" w:eastAsia="宋体" w:cs="宋体"/>
          <w:sz w:val="24"/>
          <w:szCs w:val="24"/>
        </w:rPr>
      </w:pPr>
    </w:p>
    <w:p w14:paraId="4ECCD718">
      <w:pPr>
        <w:rPr>
          <w:rFonts w:hint="eastAsia"/>
        </w:rPr>
      </w:pPr>
      <w:bookmarkStart w:id="0" w:name="_GoBack"/>
      <w:bookmarkEnd w:id="0"/>
    </w:p>
    <w:p w14:paraId="7922662F">
      <w:pPr>
        <w:keepNext w:val="0"/>
        <w:keepLines w:val="0"/>
        <w:pageBreakBefore w:val="0"/>
        <w:tabs>
          <w:tab w:val="left" w:pos="420"/>
        </w:tabs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sz w:val="24"/>
        </w:rPr>
        <w:t>甲方（盖章）：                    乙方（盖章）：</w:t>
      </w:r>
    </w:p>
    <w:p w14:paraId="51FA355C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jc w:val="left"/>
        <w:textAlignment w:val="auto"/>
        <w:rPr>
          <w:rFonts w:hint="eastAsia" w:ascii="宋体" w:hAnsi="宋体" w:eastAsia="宋体" w:cs="宋体"/>
          <w:color w:val="000000"/>
          <w:spacing w:val="-6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 xml:space="preserve">          </w:t>
      </w:r>
    </w:p>
    <w:p w14:paraId="39CFC886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法定代表人（签字或盖章）：        法定代表人（签字或盖章）：</w:t>
      </w:r>
    </w:p>
    <w:p w14:paraId="7B70D657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或委托代理人：</w:t>
      </w:r>
      <w:r>
        <w:rPr>
          <w:rFonts w:hint="eastAsia" w:ascii="宋体" w:hAnsi="宋体" w:eastAsia="宋体" w:cs="宋体"/>
          <w:color w:val="000000"/>
          <w:sz w:val="24"/>
        </w:rPr>
        <w:tab/>
      </w:r>
      <w:r>
        <w:rPr>
          <w:rFonts w:hint="eastAsia" w:ascii="宋体" w:hAnsi="宋体" w:eastAsia="宋体" w:cs="宋体"/>
          <w:color w:val="000000"/>
          <w:sz w:val="24"/>
        </w:rPr>
        <w:t xml:space="preserve">                 或委托代理人：</w:t>
      </w:r>
    </w:p>
    <w:p w14:paraId="4B545068">
      <w:pPr>
        <w:keepNext w:val="0"/>
        <w:keepLines w:val="0"/>
        <w:pageBreakBefore w:val="0"/>
        <w:tabs>
          <w:tab w:val="left" w:pos="1680"/>
          <w:tab w:val="left" w:pos="1890"/>
          <w:tab w:val="left" w:pos="2730"/>
          <w:tab w:val="left" w:pos="3780"/>
          <w:tab w:val="left" w:pos="4200"/>
          <w:tab w:val="left" w:pos="4830"/>
        </w:tabs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联系人：</w:t>
      </w:r>
      <w:r>
        <w:rPr>
          <w:rFonts w:hint="eastAsia" w:ascii="宋体" w:hAnsi="宋体" w:eastAsia="宋体" w:cs="宋体"/>
          <w:color w:val="000000"/>
          <w:sz w:val="24"/>
        </w:rPr>
        <w:tab/>
      </w:r>
      <w:r>
        <w:rPr>
          <w:rFonts w:hint="eastAsia" w:ascii="宋体" w:hAnsi="宋体" w:eastAsia="宋体" w:cs="宋体"/>
          <w:color w:val="000000"/>
          <w:sz w:val="24"/>
        </w:rPr>
        <w:t xml:space="preserve">                    联系人：</w:t>
      </w:r>
    </w:p>
    <w:p w14:paraId="6A95CD3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地址：</w:t>
      </w:r>
      <w:r>
        <w:rPr>
          <w:rFonts w:hint="eastAsia" w:ascii="宋体" w:hAnsi="宋体" w:eastAsia="宋体" w:cs="宋体"/>
          <w:color w:val="000000"/>
          <w:sz w:val="24"/>
        </w:rPr>
        <w:tab/>
      </w:r>
      <w:r>
        <w:rPr>
          <w:rFonts w:hint="eastAsia" w:ascii="宋体" w:hAnsi="宋体" w:eastAsia="宋体" w:cs="宋体"/>
          <w:color w:val="000000"/>
          <w:sz w:val="24"/>
        </w:rPr>
        <w:t xml:space="preserve">                           地址：</w:t>
      </w:r>
    </w:p>
    <w:p w14:paraId="1C07DAF1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电  话：</w:t>
      </w:r>
      <w:r>
        <w:rPr>
          <w:rFonts w:hint="eastAsia" w:ascii="宋体" w:hAnsi="宋体" w:eastAsia="宋体" w:cs="宋体"/>
          <w:color w:val="000000"/>
          <w:sz w:val="24"/>
        </w:rPr>
        <w:tab/>
      </w:r>
      <w:r>
        <w:rPr>
          <w:rFonts w:hint="eastAsia" w:ascii="宋体" w:hAnsi="宋体" w:eastAsia="宋体" w:cs="宋体"/>
          <w:color w:val="000000"/>
          <w:sz w:val="24"/>
        </w:rPr>
        <w:t xml:space="preserve">                       电  话：</w:t>
      </w:r>
    </w:p>
    <w:p w14:paraId="23142A63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left="5040" w:hanging="5040" w:hangingChars="2100"/>
        <w:textAlignment w:val="auto"/>
        <w:rPr>
          <w:rFonts w:hint="eastAsia" w:ascii="宋体" w:hAnsi="宋体" w:eastAsia="宋体" w:cs="宋体"/>
          <w:spacing w:val="2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开户行：                          开户行：</w:t>
      </w:r>
    </w:p>
    <w:p w14:paraId="31F6CA76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left="3960" w:hanging="3960" w:hangingChars="1650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账  号：                          账  号：</w:t>
      </w:r>
    </w:p>
    <w:p w14:paraId="1B61D456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left="4620" w:hanging="4620" w:hangingChars="1650"/>
        <w:textAlignment w:val="auto"/>
        <w:rPr>
          <w:rFonts w:hint="eastAsia" w:ascii="宋体" w:hAnsi="宋体" w:eastAsia="宋体" w:cs="宋体"/>
          <w:spacing w:val="20"/>
          <w:sz w:val="24"/>
        </w:rPr>
      </w:pPr>
    </w:p>
    <w:p w14:paraId="3F559CB1">
      <w:pPr>
        <w:keepNext w:val="0"/>
        <w:keepLines w:val="0"/>
        <w:pageBreakBefore w:val="0"/>
        <w:tabs>
          <w:tab w:val="left" w:pos="709"/>
          <w:tab w:val="left" w:pos="851"/>
          <w:tab w:val="left" w:pos="4690"/>
          <w:tab w:val="left" w:pos="5529"/>
        </w:tabs>
        <w:kinsoku/>
        <w:wordWrap/>
        <w:overflowPunct/>
        <w:topLinePunct w:val="0"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日  期：202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</w:rPr>
        <w:t>年   月   日         日  期：202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</w:rPr>
        <w:t>年   月    日</w:t>
      </w:r>
    </w:p>
    <w:p w14:paraId="6933CC42">
      <w:pPr>
        <w:jc w:val="left"/>
        <w:rPr>
          <w:rFonts w:hint="eastAsia" w:ascii="宋体" w:hAnsi="宋体"/>
          <w:szCs w:val="21"/>
          <w:lang w:val="en-US" w:eastAsia="zh-CN"/>
        </w:rPr>
      </w:pPr>
    </w:p>
    <w:p w14:paraId="3B9FBE38">
      <w:pPr>
        <w:jc w:val="left"/>
        <w:rPr>
          <w:rFonts w:hint="eastAsia" w:ascii="宋体" w:hAnsi="宋体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B1E21B">
    <w:pPr>
      <w:pStyle w:val="7"/>
      <w:framePr w:wrap="around" w:vAnchor="text" w:hAnchor="margin" w:xAlign="right" w:y="1"/>
    </w:pPr>
  </w:p>
  <w:p w14:paraId="37C821D2">
    <w:pPr>
      <w:pStyle w:val="7"/>
      <w:framePr w:wrap="around" w:vAnchor="text" w:hAnchor="margin" w:xAlign="right" w:y="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3A6C6C">
    <w:pPr>
      <w:pStyle w:val="7"/>
      <w:framePr w:wrap="around" w:vAnchor="text" w:hAnchor="margin" w:xAlign="right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6</w:t>
    </w:r>
    <w:r>
      <w:fldChar w:fldCharType="end"/>
    </w:r>
  </w:p>
  <w:p w14:paraId="68A53D55">
    <w:pPr>
      <w:pStyle w:val="7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685E3E"/>
    <w:multiLevelType w:val="singleLevel"/>
    <w:tmpl w:val="53685E3E"/>
    <w:lvl w:ilvl="0" w:tentative="0">
      <w:start w:val="7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lMTM5ZmJmOGY0OGFjMzg2MTliMDMzODdkMzA0NzQifQ=="/>
  </w:docVars>
  <w:rsids>
    <w:rsidRoot w:val="6CBD19EE"/>
    <w:rsid w:val="0DC97667"/>
    <w:rsid w:val="12633F46"/>
    <w:rsid w:val="1C1B0C92"/>
    <w:rsid w:val="20233AA6"/>
    <w:rsid w:val="233F5150"/>
    <w:rsid w:val="2CEE7B49"/>
    <w:rsid w:val="33450268"/>
    <w:rsid w:val="344B0073"/>
    <w:rsid w:val="397737BA"/>
    <w:rsid w:val="44F04DE3"/>
    <w:rsid w:val="46F852AF"/>
    <w:rsid w:val="4C3A6651"/>
    <w:rsid w:val="51D61781"/>
    <w:rsid w:val="55640CA7"/>
    <w:rsid w:val="61596BCA"/>
    <w:rsid w:val="67A966C8"/>
    <w:rsid w:val="69F4327C"/>
    <w:rsid w:val="6A4C37CB"/>
    <w:rsid w:val="6CBD19EE"/>
    <w:rsid w:val="776F5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before="340" w:after="330" w:line="576" w:lineRule="auto"/>
      <w:outlineLvl w:val="0"/>
    </w:pPr>
    <w:rPr>
      <w:b/>
      <w:kern w:val="44"/>
      <w:sz w:val="32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Plain Text"/>
    <w:basedOn w:val="1"/>
    <w:qFormat/>
    <w:uiPriority w:val="0"/>
    <w:rPr>
      <w:rFonts w:ascii="宋体" w:hAnsi="Courier New"/>
      <w:sz w:val="24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Body Text First Indent"/>
    <w:basedOn w:val="2"/>
    <w:semiHidden/>
    <w:qFormat/>
    <w:uiPriority w:val="0"/>
    <w:pPr>
      <w:ind w:firstLine="420" w:firstLineChars="100"/>
    </w:pPr>
    <w:rPr>
      <w:rFonts w:eastAsia="Times New Roman"/>
    </w:rPr>
  </w:style>
  <w:style w:type="character" w:styleId="11">
    <w:name w:val="page number"/>
    <w:basedOn w:val="10"/>
    <w:qFormat/>
    <w:uiPriority w:val="0"/>
  </w:style>
  <w:style w:type="paragraph" w:customStyle="1" w:styleId="12">
    <w:name w:val="样式 首行缩进:  2 字符"/>
    <w:basedOn w:val="1"/>
    <w:qFormat/>
    <w:uiPriority w:val="99"/>
    <w:pPr>
      <w:spacing w:line="400" w:lineRule="exact"/>
      <w:ind w:firstLine="200" w:firstLineChars="200"/>
    </w:pPr>
    <w:rPr>
      <w:rFonts w:cs="宋体"/>
      <w:sz w:val="24"/>
    </w:rPr>
  </w:style>
  <w:style w:type="paragraph" w:customStyle="1" w:styleId="13">
    <w:name w:val="UserStyle_0"/>
    <w:basedOn w:val="1"/>
    <w:next w:val="14"/>
    <w:qFormat/>
    <w:uiPriority w:val="0"/>
    <w:pPr>
      <w:keepNext/>
      <w:keepLines/>
      <w:tabs>
        <w:tab w:val="left" w:pos="0"/>
      </w:tabs>
      <w:spacing w:before="280" w:after="156" w:line="377" w:lineRule="auto"/>
      <w:jc w:val="left"/>
      <w:textAlignment w:val="baseline"/>
    </w:pPr>
    <w:rPr>
      <w:rFonts w:ascii="Arial" w:hAnsi="Arial" w:eastAsia="黑体"/>
      <w:b/>
      <w:kern w:val="0"/>
      <w:szCs w:val="28"/>
    </w:rPr>
  </w:style>
  <w:style w:type="paragraph" w:customStyle="1" w:styleId="14">
    <w:name w:val="UserStyle_1"/>
    <w:qFormat/>
    <w:uiPriority w:val="0"/>
    <w:pPr>
      <w:spacing w:line="300" w:lineRule="auto"/>
      <w:textAlignment w:val="baseline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5">
    <w:name w:val="表格"/>
    <w:basedOn w:val="1"/>
    <w:qFormat/>
    <w:uiPriority w:val="0"/>
    <w:pPr>
      <w:spacing w:line="400" w:lineRule="exact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1978</Words>
  <Characters>2070</Characters>
  <Lines>0</Lines>
  <Paragraphs>0</Paragraphs>
  <TotalTime>0</TotalTime>
  <ScaleCrop>false</ScaleCrop>
  <LinksUpToDate>false</LinksUpToDate>
  <CharactersWithSpaces>2425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2023-05-25T08:06:00Z</dcterms:created>
  <dc:creator>Y.</dc:creator>
  <cp:lastModifiedBy>橙橙橙橙</cp:lastModifiedBy>
  <dcterms:modified xsi:type="dcterms:W3CDTF">2025-07-21T08:04:40Z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74B74CD4B5A14E26AAB02A7387F71BA7_13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