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C6C6B2">
      <w:pPr>
        <w:pStyle w:val="2"/>
        <w:spacing w:before="100" w:line="224" w:lineRule="auto"/>
        <w:rPr>
          <w:color w:val="auto"/>
        </w:rPr>
      </w:pPr>
      <w:r>
        <w:rPr>
          <w:b/>
          <w:bCs/>
          <w:color w:val="auto"/>
          <w:spacing w:val="-12"/>
        </w:rPr>
        <w:t>附件</w:t>
      </w:r>
    </w:p>
    <w:p w14:paraId="6D5DE373">
      <w:pPr>
        <w:keepNext w:val="0"/>
        <w:keepLines w:val="0"/>
        <w:pageBreakBefore w:val="0"/>
        <w:wordWrap/>
        <w:overflowPunct/>
        <w:topLinePunct w:val="0"/>
        <w:bidi w:val="0"/>
        <w:spacing w:before="318" w:line="500" w:lineRule="exact"/>
        <w:ind w:left="3703"/>
        <w:rPr>
          <w:rFonts w:ascii="Arial"/>
          <w:color w:val="auto"/>
          <w:sz w:val="21"/>
        </w:rPr>
      </w:pPr>
      <w:r>
        <w:rPr>
          <w:rFonts w:ascii="微软雅黑" w:hAnsi="微软雅黑" w:eastAsia="微软雅黑" w:cs="微软雅黑"/>
          <w:color w:val="auto"/>
          <w:spacing w:val="-5"/>
          <w:position w:val="-2"/>
          <w:sz w:val="44"/>
          <w:szCs w:val="44"/>
        </w:rPr>
        <w:t>报价函</w:t>
      </w:r>
    </w:p>
    <w:p w14:paraId="5F2A8CCE">
      <w:pPr>
        <w:pStyle w:val="2"/>
        <w:keepNext w:val="0"/>
        <w:keepLines w:val="0"/>
        <w:pageBreakBefore w:val="0"/>
        <w:widowControl/>
        <w:tabs>
          <w:tab w:val="left" w:pos="2398"/>
        </w:tabs>
        <w:kinsoku w:val="0"/>
        <w:wordWrap/>
        <w:overflowPunct/>
        <w:topLinePunct w:val="0"/>
        <w:autoSpaceDE w:val="0"/>
        <w:autoSpaceDN w:val="0"/>
        <w:bidi w:val="0"/>
        <w:adjustRightInd w:val="0"/>
        <w:snapToGrid w:val="0"/>
        <w:spacing w:before="101" w:line="500" w:lineRule="exact"/>
        <w:textAlignment w:val="baseline"/>
        <w:rPr>
          <w:color w:val="auto"/>
        </w:rPr>
      </w:pPr>
      <w:r>
        <w:rPr>
          <w:rFonts w:hint="eastAsia"/>
          <w:color w:val="auto"/>
          <w:u w:val="single" w:color="auto"/>
          <w:lang w:val="en-US" w:eastAsia="zh-CN"/>
        </w:rPr>
        <w:t xml:space="preserve">德阳高新建材有限 </w:t>
      </w:r>
      <w:r>
        <w:rPr>
          <w:color w:val="auto"/>
          <w:spacing w:val="-135"/>
        </w:rPr>
        <w:t xml:space="preserve"> </w:t>
      </w:r>
      <w:r>
        <w:rPr>
          <w:b/>
          <w:bCs/>
          <w:color w:val="auto"/>
          <w:spacing w:val="-4"/>
        </w:rPr>
        <w:t>公司：</w:t>
      </w:r>
    </w:p>
    <w:p w14:paraId="3A040131">
      <w:pPr>
        <w:pStyle w:val="2"/>
        <w:keepNext w:val="0"/>
        <w:keepLines w:val="0"/>
        <w:pageBreakBefore w:val="0"/>
        <w:widowControl/>
        <w:tabs>
          <w:tab w:val="left" w:pos="960"/>
          <w:tab w:val="left" w:pos="1279"/>
          <w:tab w:val="left" w:pos="8730"/>
        </w:tabs>
        <w:kinsoku w:val="0"/>
        <w:wordWrap/>
        <w:overflowPunct/>
        <w:topLinePunct w:val="0"/>
        <w:autoSpaceDE w:val="0"/>
        <w:autoSpaceDN w:val="0"/>
        <w:bidi w:val="0"/>
        <w:adjustRightInd w:val="0"/>
        <w:snapToGrid w:val="0"/>
        <w:spacing w:before="158" w:line="500" w:lineRule="exact"/>
        <w:ind w:firstLine="665"/>
        <w:jc w:val="both"/>
        <w:textAlignment w:val="baseline"/>
        <w:rPr>
          <w:rFonts w:hint="eastAsia"/>
          <w:b/>
          <w:bCs/>
          <w:color w:val="auto"/>
          <w:lang w:val="en-US" w:eastAsia="zh-CN"/>
        </w:rPr>
      </w:pPr>
      <w:r>
        <w:rPr>
          <w:b/>
          <w:bCs/>
          <w:color w:val="auto"/>
          <w:spacing w:val="-3"/>
        </w:rPr>
        <w:t>关于</w:t>
      </w:r>
      <w:r>
        <w:rPr>
          <w:color w:val="auto"/>
          <w:spacing w:val="-145"/>
        </w:rPr>
        <w:t xml:space="preserve"> </w:t>
      </w:r>
      <w:r>
        <w:rPr>
          <w:rFonts w:hint="eastAsia"/>
          <w:color w:val="auto"/>
          <w:spacing w:val="5"/>
          <w:u w:val="single" w:color="auto"/>
          <w:lang w:val="en-US" w:eastAsia="zh-CN"/>
        </w:rPr>
        <w:t>德阳高新建材</w:t>
      </w:r>
      <w:r>
        <w:rPr>
          <w:rFonts w:hint="eastAsia"/>
          <w:color w:val="auto"/>
          <w:spacing w:val="5"/>
          <w:u w:val="single" w:color="auto"/>
          <w:lang w:eastAsia="zh-CN"/>
        </w:rPr>
        <w:t>有限公司</w:t>
      </w:r>
      <w:r>
        <w:rPr>
          <w:rFonts w:hint="eastAsia"/>
          <w:color w:val="auto"/>
          <w:spacing w:val="5"/>
          <w:u w:val="single" w:color="auto"/>
          <w:lang w:val="en-US" w:eastAsia="zh-CN"/>
        </w:rPr>
        <w:t>融资咨询</w:t>
      </w:r>
      <w:r>
        <w:rPr>
          <w:rFonts w:hint="eastAsia"/>
          <w:color w:val="auto"/>
          <w:spacing w:val="5"/>
          <w:u w:val="single" w:color="auto"/>
        </w:rPr>
        <w:t>服务</w:t>
      </w:r>
      <w:r>
        <w:rPr>
          <w:rFonts w:hint="eastAsia"/>
          <w:color w:val="auto"/>
          <w:spacing w:val="5"/>
          <w:u w:val="single" w:color="auto"/>
          <w:lang w:val="en-US" w:eastAsia="zh-CN"/>
        </w:rPr>
        <w:t>调研事项</w:t>
      </w:r>
      <w:r>
        <w:rPr>
          <w:b/>
          <w:bCs/>
          <w:color w:val="auto"/>
          <w:spacing w:val="-3"/>
        </w:rPr>
        <w:t>，结合该事项的特点</w:t>
      </w:r>
      <w:r>
        <w:rPr>
          <w:b/>
          <w:bCs/>
          <w:color w:val="auto"/>
        </w:rPr>
        <w:t>及服务内容，经仔细研究决定，我方</w:t>
      </w:r>
      <w:r>
        <w:rPr>
          <w:color w:val="auto"/>
          <w:spacing w:val="27"/>
          <w:u w:val="single" w:color="auto"/>
        </w:rPr>
        <w:t xml:space="preserve">   </w:t>
      </w:r>
      <w:r>
        <w:rPr>
          <w:rFonts w:hint="eastAsia"/>
          <w:color w:val="auto"/>
          <w:spacing w:val="27"/>
          <w:u w:val="single" w:color="auto"/>
          <w:lang w:val="en-US" w:eastAsia="zh-CN"/>
        </w:rPr>
        <w:t xml:space="preserve">  </w:t>
      </w:r>
      <w:r>
        <w:rPr>
          <w:color w:val="auto"/>
          <w:spacing w:val="27"/>
          <w:u w:val="single" w:color="auto"/>
        </w:rPr>
        <w:t xml:space="preserve">  </w:t>
      </w:r>
      <w:r>
        <w:rPr>
          <w:b/>
          <w:bCs/>
          <w:color w:val="auto"/>
          <w:u w:val="single" w:color="auto"/>
        </w:rPr>
        <w:t>（单位的名称）</w:t>
      </w:r>
      <w:r>
        <w:rPr>
          <w:rFonts w:hint="eastAsia"/>
          <w:b/>
          <w:bCs/>
          <w:color w:val="auto"/>
          <w:u w:val="single" w:color="auto"/>
          <w:lang w:val="en-US" w:eastAsia="zh-CN"/>
        </w:rPr>
        <w:t xml:space="preserve">                   </w:t>
      </w:r>
      <w:r>
        <w:rPr>
          <w:b/>
          <w:bCs/>
          <w:color w:val="auto"/>
        </w:rPr>
        <w:t>的报价</w:t>
      </w:r>
      <w:r>
        <w:rPr>
          <w:rFonts w:hint="eastAsia"/>
          <w:b/>
          <w:bCs/>
          <w:color w:val="auto"/>
          <w:lang w:val="en-US" w:eastAsia="zh-CN"/>
        </w:rPr>
        <w:t>详见下表：</w:t>
      </w:r>
    </w:p>
    <w:p w14:paraId="1870C406">
      <w:pPr>
        <w:pStyle w:val="2"/>
        <w:keepNext w:val="0"/>
        <w:keepLines w:val="0"/>
        <w:pageBreakBefore w:val="0"/>
        <w:numPr>
          <w:ilvl w:val="0"/>
          <w:numId w:val="0"/>
        </w:numPr>
        <w:tabs>
          <w:tab w:val="left" w:pos="960"/>
          <w:tab w:val="left" w:pos="1279"/>
          <w:tab w:val="left" w:pos="8730"/>
        </w:tabs>
        <w:wordWrap/>
        <w:overflowPunct/>
        <w:topLinePunct w:val="0"/>
        <w:bidi w:val="0"/>
        <w:spacing w:before="158" w:line="500" w:lineRule="exact"/>
        <w:ind w:firstLine="622" w:firstLineChars="200"/>
        <w:jc w:val="both"/>
        <w:rPr>
          <w:rFonts w:hint="eastAsia"/>
          <w:b/>
          <w:bCs/>
          <w:color w:val="auto"/>
          <w:lang w:val="en-US" w:eastAsia="zh-CN"/>
        </w:rPr>
      </w:pPr>
      <w:r>
        <w:rPr>
          <w:rFonts w:hint="eastAsia"/>
          <w:b/>
          <w:bCs/>
          <w:color w:val="auto"/>
          <w:lang w:val="en-US" w:eastAsia="zh-CN"/>
        </w:rPr>
        <w:t>融资咨询财务报告书按照融资公司财务报表的资产总额为标的计价。</w:t>
      </w:r>
    </w:p>
    <w:p w14:paraId="137A8868">
      <w:pPr>
        <w:pStyle w:val="2"/>
        <w:keepNext w:val="0"/>
        <w:keepLines w:val="0"/>
        <w:pageBreakBefore w:val="0"/>
        <w:numPr>
          <w:ilvl w:val="0"/>
          <w:numId w:val="0"/>
        </w:numPr>
        <w:tabs>
          <w:tab w:val="left" w:pos="960"/>
          <w:tab w:val="left" w:pos="1279"/>
          <w:tab w:val="left" w:pos="8730"/>
        </w:tabs>
        <w:wordWrap/>
        <w:overflowPunct/>
        <w:topLinePunct w:val="0"/>
        <w:bidi w:val="0"/>
        <w:spacing w:before="158" w:line="500" w:lineRule="exact"/>
        <w:ind w:leftChars="200"/>
        <w:jc w:val="both"/>
        <w:rPr>
          <w:rFonts w:hint="eastAsia"/>
          <w:b/>
          <w:bCs/>
          <w:color w:val="auto"/>
          <w:sz w:val="31"/>
          <w:szCs w:val="31"/>
          <w:u w:val="single"/>
          <w:lang w:val="en-US" w:eastAsia="zh-CN"/>
        </w:rPr>
      </w:pPr>
      <w:r>
        <w:rPr>
          <w:rFonts w:hint="eastAsia" w:ascii="仿宋" w:hAnsi="仿宋" w:eastAsia="仿宋" w:cs="仿宋"/>
          <w:b/>
          <w:bCs/>
          <w:color w:val="auto"/>
          <w:sz w:val="31"/>
          <w:szCs w:val="31"/>
          <w:lang w:val="en-US" w:eastAsia="zh-CN"/>
        </w:rPr>
        <w:t>收费标准具体</w:t>
      </w:r>
      <w:r>
        <w:rPr>
          <w:rFonts w:hint="eastAsia" w:ascii="仿宋" w:hAnsi="仿宋" w:eastAsia="仿宋" w:cs="仿宋"/>
          <w:b/>
          <w:bCs/>
          <w:color w:val="auto"/>
          <w:sz w:val="31"/>
          <w:szCs w:val="31"/>
          <w:vertAlign w:val="baseline"/>
          <w:lang w:val="en-US" w:eastAsia="zh-CN"/>
        </w:rPr>
        <w:t>参照《四川省会计师事务所服务收费标准》第一条规定的实际取费比例（‰）下浮</w:t>
      </w:r>
      <w:r>
        <w:rPr>
          <w:rFonts w:hint="eastAsia"/>
          <w:b/>
          <w:bCs/>
          <w:color w:val="auto"/>
          <w:sz w:val="31"/>
          <w:szCs w:val="31"/>
          <w:u w:val="single"/>
          <w:lang w:val="en-US" w:eastAsia="zh-CN"/>
        </w:rPr>
        <w:t xml:space="preserve">              </w:t>
      </w:r>
    </w:p>
    <w:p w14:paraId="53149F4B">
      <w:pPr>
        <w:pStyle w:val="2"/>
        <w:keepNext w:val="0"/>
        <w:keepLines w:val="0"/>
        <w:pageBreakBefore w:val="0"/>
        <w:numPr>
          <w:ilvl w:val="0"/>
          <w:numId w:val="0"/>
        </w:numPr>
        <w:tabs>
          <w:tab w:val="left" w:pos="960"/>
          <w:tab w:val="left" w:pos="1279"/>
          <w:tab w:val="left" w:pos="8730"/>
        </w:tabs>
        <w:wordWrap/>
        <w:overflowPunct/>
        <w:topLinePunct w:val="0"/>
        <w:bidi w:val="0"/>
        <w:spacing w:before="158" w:line="500" w:lineRule="exact"/>
        <w:ind w:leftChars="200"/>
        <w:jc w:val="both"/>
        <w:rPr>
          <w:rFonts w:hint="default" w:ascii="仿宋" w:hAnsi="仿宋" w:eastAsia="仿宋" w:cs="仿宋"/>
          <w:b/>
          <w:bCs/>
          <w:snapToGrid w:val="0"/>
          <w:color w:val="auto"/>
          <w:kern w:val="0"/>
          <w:sz w:val="24"/>
          <w:szCs w:val="24"/>
          <w:vertAlign w:val="baseline"/>
          <w:lang w:val="en-US" w:eastAsia="zh-CN" w:bidi="ar-SA"/>
        </w:rPr>
      </w:pPr>
      <w:r>
        <w:rPr>
          <w:rFonts w:hint="eastAsia" w:ascii="仿宋" w:hAnsi="仿宋" w:eastAsia="仿宋" w:cs="仿宋"/>
          <w:b/>
          <w:bCs/>
          <w:snapToGrid w:val="0"/>
          <w:color w:val="auto"/>
          <w:kern w:val="0"/>
          <w:sz w:val="24"/>
          <w:szCs w:val="24"/>
          <w:vertAlign w:val="baseline"/>
          <w:lang w:val="en-US" w:eastAsia="zh-CN" w:bidi="ar-SA"/>
        </w:rPr>
        <w:t>注：</w:t>
      </w:r>
      <w:r>
        <w:rPr>
          <w:rFonts w:hint="default" w:ascii="Calibri" w:hAnsi="Calibri" w:eastAsia="仿宋" w:cs="Calibri"/>
          <w:b/>
          <w:bCs/>
          <w:snapToGrid w:val="0"/>
          <w:color w:val="auto"/>
          <w:kern w:val="0"/>
          <w:sz w:val="24"/>
          <w:szCs w:val="24"/>
          <w:vertAlign w:val="baseline"/>
          <w:lang w:val="en-US" w:eastAsia="zh-CN" w:bidi="ar-SA"/>
        </w:rPr>
        <w:t>①</w:t>
      </w:r>
      <w:r>
        <w:rPr>
          <w:rFonts w:hint="eastAsia" w:ascii="Calibri" w:hAnsi="Calibri" w:eastAsia="仿宋" w:cs="Calibri"/>
          <w:b/>
          <w:bCs/>
          <w:snapToGrid w:val="0"/>
          <w:color w:val="auto"/>
          <w:kern w:val="0"/>
          <w:sz w:val="24"/>
          <w:szCs w:val="24"/>
          <w:vertAlign w:val="baseline"/>
          <w:lang w:val="en-US" w:eastAsia="zh-CN" w:bidi="ar-SA"/>
        </w:rPr>
        <w:t xml:space="preserve"> </w:t>
      </w:r>
      <w:r>
        <w:rPr>
          <w:rFonts w:hint="eastAsia" w:ascii="仿宋" w:hAnsi="仿宋" w:eastAsia="仿宋" w:cs="仿宋"/>
          <w:b/>
          <w:bCs/>
          <w:snapToGrid w:val="0"/>
          <w:color w:val="auto"/>
          <w:kern w:val="0"/>
          <w:sz w:val="24"/>
          <w:szCs w:val="24"/>
          <w:vertAlign w:val="baseline"/>
          <w:lang w:val="en-US" w:eastAsia="zh-CN" w:bidi="ar-SA"/>
        </w:rPr>
        <w:t>若出具融资报告书，与报告书相关的融资项目涉及的与金融机构沟通及协助配合事项不计价。如：报告年度内各期间的沟通工作以及协助融资企业配合金融机构后续检查工作等。</w:t>
      </w:r>
      <w:bookmarkStart w:id="0" w:name="_GoBack"/>
      <w:bookmarkEnd w:id="0"/>
    </w:p>
    <w:p w14:paraId="7896F075">
      <w:pPr>
        <w:pStyle w:val="2"/>
        <w:keepNext w:val="0"/>
        <w:keepLines w:val="0"/>
        <w:pageBreakBefore w:val="0"/>
        <w:widowControl/>
        <w:numPr>
          <w:ilvl w:val="0"/>
          <w:numId w:val="0"/>
        </w:numPr>
        <w:tabs>
          <w:tab w:val="left" w:pos="960"/>
          <w:tab w:val="left" w:pos="1279"/>
          <w:tab w:val="left" w:pos="8730"/>
        </w:tabs>
        <w:kinsoku w:val="0"/>
        <w:wordWrap/>
        <w:overflowPunct/>
        <w:topLinePunct w:val="0"/>
        <w:autoSpaceDE w:val="0"/>
        <w:autoSpaceDN w:val="0"/>
        <w:bidi w:val="0"/>
        <w:adjustRightInd w:val="0"/>
        <w:snapToGrid w:val="0"/>
        <w:spacing w:before="158" w:line="480" w:lineRule="auto"/>
        <w:ind w:firstLine="481"/>
        <w:jc w:val="both"/>
        <w:textAlignment w:val="baseline"/>
        <w:rPr>
          <w:rFonts w:hint="eastAsia" w:ascii="仿宋" w:hAnsi="仿宋" w:eastAsia="仿宋" w:cs="仿宋"/>
          <w:b/>
          <w:bCs/>
          <w:snapToGrid w:val="0"/>
          <w:color w:val="auto"/>
          <w:kern w:val="0"/>
          <w:sz w:val="24"/>
          <w:szCs w:val="24"/>
          <w:vertAlign w:val="baseline"/>
          <w:lang w:val="en-US" w:eastAsia="zh-CN" w:bidi="ar-SA"/>
        </w:rPr>
      </w:pPr>
      <w:r>
        <w:rPr>
          <w:rFonts w:hint="default" w:ascii="Calibri" w:hAnsi="Calibri" w:eastAsia="仿宋" w:cs="Calibri"/>
          <w:b/>
          <w:bCs/>
          <w:snapToGrid w:val="0"/>
          <w:color w:val="auto"/>
          <w:kern w:val="0"/>
          <w:sz w:val="24"/>
          <w:szCs w:val="24"/>
          <w:vertAlign w:val="baseline"/>
          <w:lang w:val="en-US" w:eastAsia="zh-CN" w:bidi="ar-SA"/>
        </w:rPr>
        <w:t>②</w:t>
      </w:r>
      <w:r>
        <w:rPr>
          <w:rFonts w:hint="eastAsia" w:ascii="Calibri" w:hAnsi="Calibri" w:eastAsia="仿宋" w:cs="Calibri"/>
          <w:b/>
          <w:bCs/>
          <w:snapToGrid w:val="0"/>
          <w:color w:val="auto"/>
          <w:kern w:val="0"/>
          <w:sz w:val="24"/>
          <w:szCs w:val="24"/>
          <w:vertAlign w:val="baseline"/>
          <w:lang w:val="en-US" w:eastAsia="zh-CN" w:bidi="ar-SA"/>
        </w:rPr>
        <w:t xml:space="preserve"> </w:t>
      </w:r>
      <w:r>
        <w:rPr>
          <w:rFonts w:hint="eastAsia" w:ascii="仿宋" w:hAnsi="仿宋" w:eastAsia="仿宋" w:cs="仿宋"/>
          <w:b/>
          <w:bCs/>
          <w:snapToGrid w:val="0"/>
          <w:color w:val="auto"/>
          <w:kern w:val="0"/>
          <w:sz w:val="24"/>
          <w:szCs w:val="24"/>
          <w:vertAlign w:val="baseline"/>
          <w:lang w:val="en-US" w:eastAsia="zh-CN" w:bidi="ar-SA"/>
        </w:rPr>
        <w:t>服务费用为计算标的对应各区间服务费用之和。</w:t>
      </w:r>
    </w:p>
    <w:p w14:paraId="2F33D185">
      <w:pPr>
        <w:pStyle w:val="2"/>
        <w:keepNext w:val="0"/>
        <w:keepLines w:val="0"/>
        <w:pageBreakBefore w:val="0"/>
        <w:widowControl/>
        <w:numPr>
          <w:ilvl w:val="0"/>
          <w:numId w:val="0"/>
        </w:numPr>
        <w:tabs>
          <w:tab w:val="left" w:pos="960"/>
          <w:tab w:val="left" w:pos="1279"/>
          <w:tab w:val="left" w:pos="8730"/>
        </w:tabs>
        <w:kinsoku w:val="0"/>
        <w:wordWrap/>
        <w:overflowPunct/>
        <w:topLinePunct w:val="0"/>
        <w:autoSpaceDE w:val="0"/>
        <w:autoSpaceDN w:val="0"/>
        <w:bidi w:val="0"/>
        <w:adjustRightInd w:val="0"/>
        <w:snapToGrid w:val="0"/>
        <w:spacing w:before="158" w:line="480" w:lineRule="auto"/>
        <w:ind w:firstLine="481"/>
        <w:jc w:val="both"/>
        <w:textAlignment w:val="baseline"/>
        <w:rPr>
          <w:rFonts w:hint="eastAsia" w:ascii="仿宋" w:hAnsi="仿宋" w:eastAsia="仿宋" w:cs="仿宋"/>
          <w:b/>
          <w:bCs/>
          <w:color w:val="auto"/>
          <w:spacing w:val="-1"/>
          <w:sz w:val="24"/>
          <w:szCs w:val="24"/>
        </w:rPr>
      </w:pPr>
      <w:r>
        <w:rPr>
          <w:rFonts w:hint="default" w:asciiTheme="minorAscii" w:hAnsiTheme="minorAscii"/>
          <w:b/>
          <w:bCs/>
          <w:color w:val="auto"/>
          <w:spacing w:val="-4"/>
          <w:sz w:val="24"/>
          <w:szCs w:val="24"/>
          <w:lang w:val="en-US" w:eastAsia="zh-CN"/>
        </w:rPr>
        <w:t>③</w:t>
      </w:r>
      <w:r>
        <w:rPr>
          <w:rFonts w:hint="eastAsia" w:ascii="仿宋" w:hAnsi="仿宋" w:eastAsia="仿宋" w:cs="仿宋"/>
          <w:b/>
          <w:bCs/>
          <w:color w:val="auto"/>
          <w:spacing w:val="-4"/>
          <w:sz w:val="24"/>
          <w:szCs w:val="24"/>
        </w:rPr>
        <w:t>所有报价均用人民币表示，该费用为</w:t>
      </w:r>
      <w:r>
        <w:rPr>
          <w:rFonts w:hint="eastAsia" w:ascii="仿宋" w:hAnsi="仿宋" w:eastAsia="仿宋" w:cs="仿宋"/>
          <w:b/>
          <w:bCs/>
          <w:color w:val="auto"/>
          <w:spacing w:val="-1"/>
          <w:sz w:val="24"/>
          <w:szCs w:val="24"/>
        </w:rPr>
        <w:t>包干</w:t>
      </w:r>
      <w:r>
        <w:rPr>
          <w:rFonts w:hint="eastAsia" w:ascii="仿宋" w:hAnsi="仿宋" w:eastAsia="仿宋" w:cs="仿宋"/>
          <w:b/>
          <w:bCs/>
          <w:color w:val="auto"/>
          <w:spacing w:val="-1"/>
          <w:sz w:val="24"/>
          <w:szCs w:val="24"/>
          <w:lang w:val="en-US" w:eastAsia="zh-CN"/>
        </w:rPr>
        <w:t>费用</w:t>
      </w:r>
      <w:r>
        <w:rPr>
          <w:rFonts w:hint="eastAsia" w:ascii="仿宋" w:hAnsi="仿宋" w:eastAsia="仿宋" w:cs="仿宋"/>
          <w:b/>
          <w:bCs/>
          <w:color w:val="auto"/>
          <w:spacing w:val="-1"/>
          <w:sz w:val="24"/>
          <w:szCs w:val="24"/>
        </w:rPr>
        <w:t>，包括但不限于人工费、材料费、差旅费（本省省内范围）、税费、利润、保险等为完成本项目约定服务的所有费用，以及后续服务费。</w:t>
      </w:r>
    </w:p>
    <w:p w14:paraId="7ABB8ED3">
      <w:pPr>
        <w:pStyle w:val="2"/>
        <w:keepNext w:val="0"/>
        <w:keepLines w:val="0"/>
        <w:pageBreakBefore w:val="0"/>
        <w:widowControl/>
        <w:kinsoku w:val="0"/>
        <w:wordWrap/>
        <w:overflowPunct/>
        <w:topLinePunct w:val="0"/>
        <w:autoSpaceDE w:val="0"/>
        <w:autoSpaceDN w:val="0"/>
        <w:bidi w:val="0"/>
        <w:adjustRightInd w:val="0"/>
        <w:snapToGrid w:val="0"/>
        <w:spacing w:before="78" w:line="500" w:lineRule="exact"/>
        <w:ind w:left="11" w:right="0" w:firstLine="482"/>
        <w:jc w:val="both"/>
        <w:textAlignment w:val="baseline"/>
        <w:rPr>
          <w:rFonts w:hint="eastAsia" w:eastAsia="宋体"/>
          <w:b/>
          <w:bCs/>
          <w:color w:val="auto"/>
          <w:spacing w:val="-1"/>
          <w:sz w:val="24"/>
          <w:szCs w:val="24"/>
          <w:lang w:eastAsia="zh-CN"/>
        </w:rPr>
      </w:pPr>
      <w:r>
        <w:rPr>
          <w:rFonts w:hint="eastAsia"/>
          <w:b/>
          <w:bCs/>
          <w:color w:val="auto"/>
          <w:spacing w:val="-1"/>
          <w:sz w:val="24"/>
          <w:szCs w:val="24"/>
          <w:lang w:eastAsia="zh-CN"/>
        </w:rPr>
        <w:t>（</w:t>
      </w:r>
      <w:r>
        <w:rPr>
          <w:rFonts w:hint="eastAsia"/>
          <w:b/>
          <w:bCs/>
          <w:color w:val="auto"/>
          <w:spacing w:val="-1"/>
          <w:sz w:val="24"/>
          <w:szCs w:val="24"/>
          <w:lang w:val="en-US" w:eastAsia="zh-CN"/>
        </w:rPr>
        <w:t>报价有效期：报价之日起90日内</w:t>
      </w:r>
      <w:r>
        <w:rPr>
          <w:rFonts w:hint="eastAsia"/>
          <w:b/>
          <w:bCs/>
          <w:color w:val="auto"/>
          <w:spacing w:val="-1"/>
          <w:sz w:val="24"/>
          <w:szCs w:val="24"/>
          <w:lang w:eastAsia="zh-CN"/>
        </w:rPr>
        <w:t>）</w:t>
      </w:r>
    </w:p>
    <w:p w14:paraId="61EA5411">
      <w:pPr>
        <w:pStyle w:val="2"/>
        <w:keepNext w:val="0"/>
        <w:keepLines w:val="0"/>
        <w:pageBreakBefore w:val="0"/>
        <w:tabs>
          <w:tab w:val="left" w:pos="8055"/>
        </w:tabs>
        <w:wordWrap/>
        <w:overflowPunct/>
        <w:topLinePunct w:val="0"/>
        <w:bidi w:val="0"/>
        <w:spacing w:before="101" w:line="500" w:lineRule="exact"/>
        <w:ind w:left="3591" w:right="673" w:firstLine="9"/>
        <w:jc w:val="both"/>
        <w:rPr>
          <w:color w:val="auto"/>
          <w:u w:val="single" w:color="auto"/>
        </w:rPr>
      </w:pPr>
      <w:r>
        <w:rPr>
          <w:b/>
          <w:bCs/>
          <w:color w:val="auto"/>
          <w:spacing w:val="-6"/>
        </w:rPr>
        <w:t>单位名称</w:t>
      </w:r>
      <w:r>
        <w:rPr>
          <w:b/>
          <w:bCs/>
          <w:color w:val="auto"/>
          <w:spacing w:val="-22"/>
        </w:rPr>
        <w:t>：</w:t>
      </w:r>
      <w:r>
        <w:rPr>
          <w:color w:val="auto"/>
          <w:spacing w:val="37"/>
          <w:u w:val="single" w:color="auto"/>
        </w:rPr>
        <w:t xml:space="preserve">    </w:t>
      </w:r>
      <w:r>
        <w:rPr>
          <w:b/>
          <w:bCs/>
          <w:color w:val="auto"/>
          <w:spacing w:val="-22"/>
          <w:u w:val="single" w:color="auto"/>
        </w:rPr>
        <w:t>（</w:t>
      </w:r>
      <w:r>
        <w:rPr>
          <w:b/>
          <w:bCs/>
          <w:color w:val="auto"/>
          <w:spacing w:val="-6"/>
          <w:u w:val="single" w:color="auto"/>
        </w:rPr>
        <w:t>公章）</w:t>
      </w:r>
      <w:r>
        <w:rPr>
          <w:color w:val="auto"/>
          <w:u w:val="single" w:color="auto"/>
        </w:rPr>
        <w:tab/>
      </w:r>
    </w:p>
    <w:p w14:paraId="0B2F2FB1">
      <w:pPr>
        <w:pStyle w:val="2"/>
        <w:keepNext w:val="0"/>
        <w:keepLines w:val="0"/>
        <w:pageBreakBefore w:val="0"/>
        <w:tabs>
          <w:tab w:val="left" w:pos="8055"/>
        </w:tabs>
        <w:wordWrap/>
        <w:overflowPunct/>
        <w:topLinePunct w:val="0"/>
        <w:bidi w:val="0"/>
        <w:spacing w:before="101" w:line="500" w:lineRule="exact"/>
        <w:ind w:left="3591" w:right="673" w:firstLine="9"/>
        <w:jc w:val="both"/>
        <w:rPr>
          <w:color w:val="auto"/>
        </w:rPr>
      </w:pPr>
      <w:r>
        <w:rPr>
          <w:b/>
          <w:bCs/>
          <w:color w:val="auto"/>
          <w:spacing w:val="-14"/>
        </w:rPr>
        <w:t>联</w:t>
      </w:r>
      <w:r>
        <w:rPr>
          <w:color w:val="auto"/>
          <w:spacing w:val="48"/>
        </w:rPr>
        <w:t xml:space="preserve"> </w:t>
      </w:r>
      <w:r>
        <w:rPr>
          <w:b/>
          <w:bCs/>
          <w:color w:val="auto"/>
          <w:spacing w:val="-14"/>
        </w:rPr>
        <w:t>系</w:t>
      </w:r>
      <w:r>
        <w:rPr>
          <w:color w:val="auto"/>
          <w:spacing w:val="29"/>
        </w:rPr>
        <w:t xml:space="preserve"> </w:t>
      </w:r>
      <w:r>
        <w:rPr>
          <w:b/>
          <w:bCs/>
          <w:color w:val="auto"/>
          <w:spacing w:val="-14"/>
        </w:rPr>
        <w:t>人：</w:t>
      </w:r>
      <w:r>
        <w:rPr>
          <w:color w:val="auto"/>
          <w:u w:val="single" w:color="auto"/>
        </w:rPr>
        <w:tab/>
      </w:r>
      <w:r>
        <w:rPr>
          <w:color w:val="auto"/>
        </w:rPr>
        <w:t xml:space="preserve"> </w:t>
      </w:r>
    </w:p>
    <w:p w14:paraId="363A23D1">
      <w:pPr>
        <w:pStyle w:val="2"/>
        <w:keepNext w:val="0"/>
        <w:keepLines w:val="0"/>
        <w:pageBreakBefore w:val="0"/>
        <w:tabs>
          <w:tab w:val="left" w:pos="8055"/>
        </w:tabs>
        <w:wordWrap/>
        <w:overflowPunct/>
        <w:topLinePunct w:val="0"/>
        <w:bidi w:val="0"/>
        <w:spacing w:before="101" w:line="500" w:lineRule="exact"/>
        <w:ind w:left="3591" w:right="673" w:firstLine="9"/>
        <w:jc w:val="both"/>
        <w:rPr>
          <w:color w:val="auto"/>
        </w:rPr>
      </w:pPr>
      <w:r>
        <w:rPr>
          <w:b/>
          <w:bCs/>
          <w:color w:val="auto"/>
          <w:spacing w:val="3"/>
        </w:rPr>
        <w:t>联系电话：</w:t>
      </w:r>
      <w:r>
        <w:rPr>
          <w:color w:val="auto"/>
          <w:u w:val="single" w:color="auto"/>
        </w:rPr>
        <w:tab/>
      </w:r>
      <w:r>
        <w:rPr>
          <w:color w:val="auto"/>
        </w:rPr>
        <w:t xml:space="preserve"> </w:t>
      </w:r>
    </w:p>
    <w:p w14:paraId="6D05B8CC">
      <w:pPr>
        <w:pStyle w:val="2"/>
        <w:keepNext w:val="0"/>
        <w:keepLines w:val="0"/>
        <w:pageBreakBefore w:val="0"/>
        <w:tabs>
          <w:tab w:val="left" w:pos="8055"/>
        </w:tabs>
        <w:wordWrap/>
        <w:overflowPunct/>
        <w:topLinePunct w:val="0"/>
        <w:bidi w:val="0"/>
        <w:spacing w:before="101" w:line="500" w:lineRule="exact"/>
        <w:ind w:left="3591" w:right="673" w:firstLine="9"/>
        <w:jc w:val="both"/>
        <w:rPr>
          <w:color w:val="auto"/>
        </w:rPr>
      </w:pPr>
      <w:r>
        <w:rPr>
          <w:b/>
          <w:bCs/>
          <w:color w:val="auto"/>
          <w:spacing w:val="-25"/>
        </w:rPr>
        <w:t>日</w:t>
      </w:r>
      <w:r>
        <w:rPr>
          <w:color w:val="auto"/>
          <w:spacing w:val="13"/>
        </w:rPr>
        <w:t xml:space="preserve">  </w:t>
      </w:r>
      <w:r>
        <w:rPr>
          <w:rFonts w:hint="eastAsia"/>
          <w:color w:val="auto"/>
          <w:spacing w:val="13"/>
          <w:lang w:val="en-US" w:eastAsia="zh-CN"/>
        </w:rPr>
        <w:t xml:space="preserve"> </w:t>
      </w:r>
      <w:r>
        <w:rPr>
          <w:color w:val="auto"/>
          <w:spacing w:val="13"/>
        </w:rPr>
        <w:t xml:space="preserve"> </w:t>
      </w:r>
      <w:r>
        <w:rPr>
          <w:b/>
          <w:bCs/>
          <w:color w:val="auto"/>
          <w:spacing w:val="-25"/>
        </w:rPr>
        <w:t>期：</w:t>
      </w:r>
      <w:r>
        <w:rPr>
          <w:color w:val="auto"/>
          <w:spacing w:val="5"/>
          <w:u w:val="single" w:color="auto"/>
        </w:rPr>
        <w:t xml:space="preserve">     </w:t>
      </w:r>
      <w:r>
        <w:rPr>
          <w:color w:val="auto"/>
          <w:spacing w:val="-136"/>
        </w:rPr>
        <w:t xml:space="preserve"> </w:t>
      </w:r>
      <w:r>
        <w:rPr>
          <w:b/>
          <w:bCs/>
          <w:color w:val="auto"/>
          <w:spacing w:val="-25"/>
        </w:rPr>
        <w:t>年</w:t>
      </w:r>
      <w:r>
        <w:rPr>
          <w:color w:val="auto"/>
          <w:spacing w:val="-155"/>
        </w:rPr>
        <w:t xml:space="preserve"> </w:t>
      </w:r>
      <w:r>
        <w:rPr>
          <w:color w:val="auto"/>
          <w:spacing w:val="5"/>
          <w:u w:val="single" w:color="auto"/>
        </w:rPr>
        <w:t xml:space="preserve">  </w:t>
      </w:r>
      <w:r>
        <w:rPr>
          <w:color w:val="auto"/>
          <w:spacing w:val="-125"/>
        </w:rPr>
        <w:t xml:space="preserve"> </w:t>
      </w:r>
      <w:r>
        <w:rPr>
          <w:b/>
          <w:bCs/>
          <w:color w:val="auto"/>
          <w:spacing w:val="-25"/>
        </w:rPr>
        <w:t>月</w:t>
      </w:r>
      <w:r>
        <w:rPr>
          <w:color w:val="auto"/>
          <w:spacing w:val="-153"/>
        </w:rPr>
        <w:t xml:space="preserve"> </w:t>
      </w:r>
      <w:r>
        <w:rPr>
          <w:color w:val="auto"/>
          <w:spacing w:val="5"/>
          <w:u w:val="single" w:color="auto"/>
        </w:rPr>
        <w:t xml:space="preserve">  </w:t>
      </w:r>
      <w:r>
        <w:rPr>
          <w:b/>
          <w:bCs/>
          <w:color w:val="auto"/>
          <w:spacing w:val="-25"/>
        </w:rPr>
        <w:t>日</w:t>
      </w:r>
    </w:p>
    <w:p w14:paraId="18FB2FAF"/>
    <w:sectPr>
      <w:pgSz w:w="11907" w:h="16839"/>
      <w:pgMar w:top="1157" w:right="1179" w:bottom="1157" w:left="117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AC1FDA"/>
    <w:rsid w:val="143E33BF"/>
    <w:rsid w:val="1DC816FA"/>
    <w:rsid w:val="241A151F"/>
    <w:rsid w:val="271E0906"/>
    <w:rsid w:val="377B6AD3"/>
    <w:rsid w:val="5F105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386</Words>
  <Characters>387</Characters>
  <Lines>0</Lines>
  <Paragraphs>0</Paragraphs>
  <TotalTime>19</TotalTime>
  <ScaleCrop>false</ScaleCrop>
  <LinksUpToDate>false</LinksUpToDate>
  <CharactersWithSpaces>460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2025-04-02T03:44:00Z</dcterms:created>
  <dc:creator>Administrator</dc:creator>
  <cp:lastModifiedBy>shine</cp:lastModifiedBy>
  <cp:lastPrinted>2025-04-16T03:38:00Z</cp:lastPrinted>
  <dcterms:modified xsi:type="dcterms:W3CDTF">2025-05-27T01:27:59Z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eyJoZGlkIjoiZWEyOGU4Nzk0Nzk3N2QzOTZhM2I1YjZhN2Y0NWRiZDgiLCJ1c2VySWQiOiIyNjE4NzI2MzIifQ==</vt:lpwstr>
  </property>
  <property fmtid="{D5CDD505-2E9C-101B-9397-08002B2CF9AE}" pid="4" name="ICV">
    <vt:lpwstr>C24682DF5CAF4B89A4F4321F70353A0B_13</vt:lpwstr>
  </property>
</Properties>
</file>