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14645">
      <w:pPr>
        <w:keepNext w:val="0"/>
        <w:keepLines w:val="0"/>
        <w:pageBreakBefore w:val="0"/>
        <w:widowControl/>
        <w:kinsoku/>
        <w:wordWrap/>
        <w:overflowPunct/>
        <w:topLinePunct w:val="0"/>
        <w:autoSpaceDE/>
        <w:autoSpaceDN/>
        <w:bidi w:val="0"/>
        <w:adjustRightInd/>
        <w:snapToGrid/>
        <w:spacing w:line="360" w:lineRule="auto"/>
        <w:ind w:left="427" w:leftChars="0" w:right="-58" w:rightChars="-24" w:hanging="427" w:hangingChars="133"/>
        <w:jc w:val="both"/>
        <w:textAlignment w:val="auto"/>
        <w:outlineLvl w:val="1"/>
        <w:rPr>
          <w:rFonts w:hint="default" w:ascii="Times New Roman" w:hAnsi="Times New Roman" w:eastAsia="方正仿宋简体" w:cs="Times New Roman"/>
          <w:b/>
          <w:bCs w:val="0"/>
          <w:sz w:val="32"/>
          <w:szCs w:val="32"/>
          <w:lang w:val="en-US" w:eastAsia="zh-CN"/>
        </w:rPr>
      </w:pPr>
      <w:r>
        <w:rPr>
          <w:rFonts w:hint="eastAsia" w:ascii="Times New Roman" w:hAnsi="Times New Roman" w:eastAsia="方正仿宋简体" w:cs="Times New Roman"/>
          <w:b/>
          <w:bCs w:val="0"/>
          <w:sz w:val="32"/>
          <w:szCs w:val="32"/>
          <w:lang w:val="en-US" w:eastAsia="zh-CN"/>
        </w:rPr>
        <w:t>附件1：</w:t>
      </w:r>
    </w:p>
    <w:p w14:paraId="052D55BD">
      <w:pPr>
        <w:keepNext w:val="0"/>
        <w:keepLines w:val="0"/>
        <w:pageBreakBefore w:val="0"/>
        <w:widowControl/>
        <w:kinsoku/>
        <w:wordWrap/>
        <w:overflowPunct/>
        <w:topLinePunct w:val="0"/>
        <w:autoSpaceDE/>
        <w:autoSpaceDN/>
        <w:bidi w:val="0"/>
        <w:adjustRightInd/>
        <w:snapToGrid/>
        <w:spacing w:line="360" w:lineRule="auto"/>
        <w:ind w:left="426" w:right="-58" w:rightChars="-24"/>
        <w:jc w:val="center"/>
        <w:textAlignment w:val="auto"/>
        <w:outlineLvl w:val="1"/>
        <w:rPr>
          <w:rFonts w:hint="eastAsia" w:ascii="仿宋" w:hAnsi="仿宋" w:eastAsia="仿宋" w:cs="仿宋"/>
          <w:b/>
          <w:bCs w:val="0"/>
          <w:sz w:val="24"/>
          <w:szCs w:val="24"/>
        </w:rPr>
      </w:pPr>
      <w:r>
        <w:rPr>
          <w:rFonts w:hint="default" w:ascii="Times New Roman" w:hAnsi="Times New Roman" w:eastAsia="方正仿宋简体" w:cs="Times New Roman"/>
          <w:b/>
          <w:bCs w:val="0"/>
          <w:sz w:val="32"/>
          <w:szCs w:val="32"/>
          <w:lang w:val="en-US" w:eastAsia="zh-CN"/>
        </w:rPr>
        <w:t>2025广汉金雁湖公园迎春氛围营造制作技术要求</w:t>
      </w:r>
    </w:p>
    <w:p w14:paraId="12815731">
      <w:pPr>
        <w:keepNext w:val="0"/>
        <w:keepLines w:val="0"/>
        <w:pageBreakBefore w:val="0"/>
        <w:widowControl/>
        <w:kinsoku/>
        <w:wordWrap/>
        <w:overflowPunct/>
        <w:topLinePunct w:val="0"/>
        <w:autoSpaceDE/>
        <w:autoSpaceDN/>
        <w:bidi w:val="0"/>
        <w:adjustRightInd/>
        <w:snapToGrid/>
        <w:spacing w:line="360" w:lineRule="auto"/>
        <w:ind w:left="426" w:right="-58" w:rightChars="-24"/>
        <w:jc w:val="left"/>
        <w:textAlignment w:val="auto"/>
        <w:outlineLvl w:val="1"/>
        <w:rPr>
          <w:rFonts w:hint="eastAsia" w:ascii="仿宋" w:hAnsi="仿宋" w:eastAsia="仿宋" w:cs="仿宋"/>
          <w:b/>
          <w:bCs/>
          <w:sz w:val="24"/>
          <w:szCs w:val="24"/>
        </w:rPr>
      </w:pPr>
      <w:r>
        <w:rPr>
          <w:rFonts w:hint="eastAsia" w:ascii="仿宋" w:hAnsi="仿宋" w:eastAsia="仿宋" w:cs="仿宋"/>
          <w:b/>
          <w:bCs/>
          <w:sz w:val="24"/>
          <w:szCs w:val="24"/>
        </w:rPr>
        <w:t>一、项目概述</w:t>
      </w:r>
    </w:p>
    <w:p w14:paraId="2C41D004">
      <w:pPr>
        <w:keepNext w:val="0"/>
        <w:keepLines w:val="0"/>
        <w:pageBreakBefore w:val="0"/>
        <w:widowControl/>
        <w:kinsoku/>
        <w:wordWrap/>
        <w:overflowPunct/>
        <w:topLinePunct w:val="0"/>
        <w:autoSpaceDE/>
        <w:autoSpaceDN/>
        <w:bidi w:val="0"/>
        <w:adjustRightInd/>
        <w:snapToGrid/>
        <w:spacing w:line="360" w:lineRule="auto"/>
        <w:ind w:right="-58" w:rightChars="-24" w:firstLine="480" w:firstLineChars="200"/>
        <w:jc w:val="left"/>
        <w:textAlignment w:val="auto"/>
        <w:rPr>
          <w:rFonts w:hint="eastAsia" w:ascii="仿宋" w:hAnsi="仿宋" w:eastAsia="仿宋" w:cs="仿宋"/>
          <w:kern w:val="0"/>
          <w:sz w:val="24"/>
          <w:szCs w:val="24"/>
          <w:highlight w:val="none"/>
        </w:rPr>
      </w:pPr>
      <w:bookmarkStart w:id="0" w:name="_Toc222915905"/>
      <w:bookmarkStart w:id="1" w:name="_Toc237969084"/>
      <w:bookmarkStart w:id="2" w:name="_Toc232226874"/>
      <w:bookmarkStart w:id="3" w:name="_Toc232226810"/>
      <w:bookmarkStart w:id="4" w:name="_Toc202769343"/>
      <w:bookmarkStart w:id="5" w:name="_Toc206531674"/>
      <w:bookmarkStart w:id="6" w:name="_Toc222988507"/>
      <w:bookmarkStart w:id="7" w:name="_Toc222910130"/>
      <w:r>
        <w:rPr>
          <w:rFonts w:hint="eastAsia" w:ascii="仿宋" w:hAnsi="仿宋" w:eastAsia="仿宋" w:cs="仿宋"/>
          <w:kern w:val="0"/>
          <w:sz w:val="24"/>
          <w:szCs w:val="24"/>
          <w:highlight w:val="none"/>
        </w:rPr>
        <w:t>春节期间，为丰富群众的节日文化生活，让</w:t>
      </w:r>
      <w:r>
        <w:rPr>
          <w:rFonts w:hint="eastAsia" w:ascii="仿宋" w:hAnsi="仿宋" w:cs="仿宋"/>
          <w:kern w:val="0"/>
          <w:sz w:val="24"/>
          <w:szCs w:val="24"/>
          <w:highlight w:val="none"/>
          <w:lang w:val="en-US" w:eastAsia="zh-CN"/>
        </w:rPr>
        <w:t>蛇年</w:t>
      </w:r>
      <w:r>
        <w:rPr>
          <w:rFonts w:hint="eastAsia" w:ascii="仿宋" w:hAnsi="仿宋" w:eastAsia="仿宋" w:cs="仿宋"/>
          <w:kern w:val="0"/>
          <w:sz w:val="24"/>
          <w:szCs w:val="24"/>
          <w:highlight w:val="none"/>
        </w:rPr>
        <w:t>春节氛围</w:t>
      </w:r>
      <w:r>
        <w:rPr>
          <w:rFonts w:hint="eastAsia" w:ascii="仿宋" w:hAnsi="仿宋" w:cs="仿宋"/>
          <w:kern w:val="0"/>
          <w:sz w:val="24"/>
          <w:szCs w:val="24"/>
          <w:highlight w:val="none"/>
          <w:lang w:val="en-US" w:eastAsia="zh-CN"/>
        </w:rPr>
        <w:t>火热</w:t>
      </w:r>
      <w:r>
        <w:rPr>
          <w:rFonts w:hint="eastAsia" w:ascii="仿宋" w:hAnsi="仿宋" w:eastAsia="仿宋" w:cs="仿宋"/>
          <w:kern w:val="0"/>
          <w:sz w:val="24"/>
          <w:szCs w:val="24"/>
          <w:highlight w:val="none"/>
        </w:rPr>
        <w:t>、年味足，</w:t>
      </w:r>
      <w:r>
        <w:rPr>
          <w:rFonts w:hint="eastAsia" w:ascii="仿宋" w:hAnsi="仿宋" w:cs="仿宋"/>
          <w:kern w:val="0"/>
          <w:sz w:val="24"/>
          <w:szCs w:val="24"/>
          <w:highlight w:val="none"/>
          <w:lang w:val="en-US" w:eastAsia="zh-CN"/>
        </w:rPr>
        <w:t>广汉市政府将在金雁湖公园举</w:t>
      </w:r>
      <w:bookmarkStart w:id="8" w:name="_GoBack"/>
      <w:bookmarkEnd w:id="8"/>
      <w:r>
        <w:rPr>
          <w:rFonts w:hint="eastAsia" w:ascii="仿宋" w:hAnsi="仿宋" w:cs="仿宋"/>
          <w:kern w:val="0"/>
          <w:sz w:val="24"/>
          <w:szCs w:val="24"/>
          <w:highlight w:val="none"/>
          <w:lang w:val="en-US" w:eastAsia="zh-CN"/>
        </w:rPr>
        <w:t>办迎春氛围灯光秀</w:t>
      </w:r>
      <w:r>
        <w:rPr>
          <w:rFonts w:hint="eastAsia" w:ascii="仿宋" w:hAnsi="仿宋" w:eastAsia="仿宋" w:cs="仿宋"/>
          <w:kern w:val="0"/>
          <w:sz w:val="24"/>
          <w:szCs w:val="24"/>
          <w:highlight w:val="none"/>
        </w:rPr>
        <w:t>，让广大游客市民在年俗文化盛宴中，尽享浓郁祥和的新春年味。</w:t>
      </w:r>
      <w:r>
        <w:rPr>
          <w:rFonts w:hint="eastAsia" w:ascii="仿宋" w:hAnsi="仿宋" w:cs="仿宋"/>
          <w:kern w:val="0"/>
          <w:sz w:val="24"/>
          <w:szCs w:val="24"/>
          <w:highlight w:val="none"/>
          <w:lang w:val="en-US" w:eastAsia="zh-CN"/>
        </w:rPr>
        <w:t>活动</w:t>
      </w:r>
      <w:r>
        <w:rPr>
          <w:rFonts w:hint="eastAsia" w:ascii="仿宋" w:hAnsi="仿宋" w:eastAsia="仿宋" w:cs="仿宋"/>
          <w:kern w:val="0"/>
          <w:sz w:val="24"/>
          <w:szCs w:val="24"/>
          <w:highlight w:val="none"/>
        </w:rPr>
        <w:t>将于202</w:t>
      </w:r>
      <w:r>
        <w:rPr>
          <w:rFonts w:hint="eastAsia" w:ascii="仿宋" w:hAnsi="仿宋" w:cs="仿宋"/>
          <w:kern w:val="0"/>
          <w:sz w:val="24"/>
          <w:szCs w:val="24"/>
          <w:highlight w:val="none"/>
          <w:lang w:val="en-US" w:eastAsia="zh-CN"/>
        </w:rPr>
        <w:t>5</w:t>
      </w:r>
      <w:r>
        <w:rPr>
          <w:rFonts w:hint="eastAsia" w:ascii="仿宋" w:hAnsi="仿宋" w:eastAsia="仿宋" w:cs="仿宋"/>
          <w:kern w:val="0"/>
          <w:sz w:val="24"/>
          <w:szCs w:val="24"/>
          <w:highlight w:val="none"/>
        </w:rPr>
        <w:t>年</w:t>
      </w:r>
      <w:r>
        <w:rPr>
          <w:rFonts w:hint="eastAsia" w:ascii="仿宋" w:hAnsi="仿宋" w:cs="仿宋"/>
          <w:kern w:val="0"/>
          <w:sz w:val="24"/>
          <w:szCs w:val="24"/>
          <w:highlight w:val="none"/>
          <w:lang w:val="en-US" w:eastAsia="zh-CN"/>
        </w:rPr>
        <w:t>1</w:t>
      </w:r>
      <w:r>
        <w:rPr>
          <w:rFonts w:hint="eastAsia" w:ascii="仿宋" w:hAnsi="仿宋" w:eastAsia="仿宋" w:cs="仿宋"/>
          <w:kern w:val="0"/>
          <w:sz w:val="24"/>
          <w:szCs w:val="24"/>
          <w:highlight w:val="none"/>
        </w:rPr>
        <w:t xml:space="preserve">月 </w:t>
      </w:r>
      <w:r>
        <w:rPr>
          <w:rFonts w:hint="eastAsia" w:ascii="仿宋" w:hAnsi="仿宋" w:cs="仿宋"/>
          <w:kern w:val="0"/>
          <w:sz w:val="24"/>
          <w:szCs w:val="24"/>
          <w:highlight w:val="none"/>
          <w:lang w:val="en-US" w:eastAsia="zh-CN"/>
        </w:rPr>
        <w:t>23</w:t>
      </w:r>
      <w:r>
        <w:rPr>
          <w:rFonts w:hint="eastAsia" w:ascii="仿宋" w:hAnsi="仿宋" w:eastAsia="仿宋" w:cs="仿宋"/>
          <w:kern w:val="0"/>
          <w:sz w:val="24"/>
          <w:szCs w:val="24"/>
          <w:highlight w:val="none"/>
        </w:rPr>
        <w:t>日（</w:t>
      </w:r>
      <w:r>
        <w:rPr>
          <w:rFonts w:hint="eastAsia" w:ascii="仿宋" w:hAnsi="仿宋" w:eastAsia="仿宋" w:cs="仿宋"/>
          <w:kern w:val="0"/>
          <w:sz w:val="24"/>
          <w:szCs w:val="24"/>
          <w:highlight w:val="none"/>
          <w:lang w:eastAsia="zh-CN"/>
        </w:rPr>
        <w:t>腊月廿</w:t>
      </w:r>
      <w:r>
        <w:rPr>
          <w:rFonts w:hint="eastAsia" w:ascii="仿宋" w:hAnsi="仿宋" w:cs="仿宋"/>
          <w:kern w:val="0"/>
          <w:sz w:val="24"/>
          <w:szCs w:val="24"/>
          <w:highlight w:val="none"/>
          <w:lang w:val="en-US" w:eastAsia="zh-CN"/>
        </w:rPr>
        <w:t>四</w:t>
      </w:r>
      <w:r>
        <w:rPr>
          <w:rFonts w:hint="eastAsia" w:ascii="仿宋" w:hAnsi="仿宋" w:eastAsia="仿宋" w:cs="仿宋"/>
          <w:kern w:val="0"/>
          <w:sz w:val="24"/>
          <w:szCs w:val="24"/>
          <w:highlight w:val="none"/>
        </w:rPr>
        <w:t>日）至2月</w:t>
      </w:r>
      <w:r>
        <w:rPr>
          <w:rFonts w:hint="eastAsia" w:ascii="仿宋" w:hAnsi="仿宋" w:cs="仿宋"/>
          <w:kern w:val="0"/>
          <w:sz w:val="24"/>
          <w:szCs w:val="24"/>
          <w:highlight w:val="none"/>
          <w:lang w:val="en-US" w:eastAsia="zh-CN"/>
        </w:rPr>
        <w:t>12</w:t>
      </w:r>
      <w:r>
        <w:rPr>
          <w:rFonts w:hint="eastAsia" w:ascii="仿宋" w:hAnsi="仿宋" w:eastAsia="仿宋" w:cs="仿宋"/>
          <w:kern w:val="0"/>
          <w:sz w:val="24"/>
          <w:szCs w:val="24"/>
          <w:highlight w:val="none"/>
        </w:rPr>
        <w:t xml:space="preserve"> 日（</w:t>
      </w:r>
      <w:r>
        <w:rPr>
          <w:rFonts w:hint="eastAsia" w:ascii="仿宋" w:hAnsi="仿宋" w:eastAsia="仿宋" w:cs="仿宋"/>
          <w:kern w:val="0"/>
          <w:sz w:val="24"/>
          <w:szCs w:val="24"/>
          <w:highlight w:val="none"/>
          <w:lang w:eastAsia="zh-CN"/>
        </w:rPr>
        <w:t>正月十五</w:t>
      </w:r>
      <w:r>
        <w:rPr>
          <w:rFonts w:hint="eastAsia" w:ascii="仿宋" w:hAnsi="仿宋" w:eastAsia="仿宋" w:cs="仿宋"/>
          <w:kern w:val="0"/>
          <w:sz w:val="24"/>
          <w:szCs w:val="24"/>
          <w:highlight w:val="none"/>
        </w:rPr>
        <w:t>日）</w:t>
      </w:r>
      <w:r>
        <w:rPr>
          <w:rFonts w:hint="eastAsia" w:ascii="仿宋" w:hAnsi="仿宋" w:eastAsia="仿宋" w:cs="仿宋"/>
          <w:kern w:val="0"/>
          <w:sz w:val="24"/>
          <w:szCs w:val="24"/>
          <w:highlight w:val="none"/>
          <w:lang w:eastAsia="zh-CN"/>
        </w:rPr>
        <w:t>（</w:t>
      </w:r>
      <w:r>
        <w:rPr>
          <w:rFonts w:hint="eastAsia" w:ascii="仿宋" w:hAnsi="仿宋" w:eastAsia="仿宋" w:cs="仿宋"/>
          <w:kern w:val="0"/>
          <w:sz w:val="24"/>
          <w:szCs w:val="24"/>
          <w:highlight w:val="none"/>
          <w:lang w:val="en-US" w:eastAsia="zh-CN"/>
        </w:rPr>
        <w:t>以实际为准</w:t>
      </w:r>
      <w:r>
        <w:rPr>
          <w:rFonts w:hint="eastAsia" w:ascii="仿宋" w:hAnsi="仿宋" w:eastAsia="仿宋" w:cs="仿宋"/>
          <w:kern w:val="0"/>
          <w:sz w:val="24"/>
          <w:szCs w:val="24"/>
          <w:highlight w:val="none"/>
        </w:rPr>
        <w:t>。</w:t>
      </w:r>
    </w:p>
    <w:p w14:paraId="15E37579">
      <w:pPr>
        <w:keepNext w:val="0"/>
        <w:keepLines w:val="0"/>
        <w:pageBreakBefore w:val="0"/>
        <w:widowControl/>
        <w:kinsoku/>
        <w:wordWrap/>
        <w:overflowPunct/>
        <w:topLinePunct w:val="0"/>
        <w:autoSpaceDE/>
        <w:autoSpaceDN/>
        <w:bidi w:val="0"/>
        <w:adjustRightInd/>
        <w:snapToGrid/>
        <w:spacing w:line="360" w:lineRule="auto"/>
        <w:ind w:right="-58" w:rightChars="-24" w:firstLine="480" w:firstLineChars="200"/>
        <w:jc w:val="left"/>
        <w:textAlignment w:val="auto"/>
        <w:rPr>
          <w:rFonts w:hint="eastAsia" w:ascii="仿宋" w:hAnsi="仿宋" w:eastAsia="仿宋" w:cs="仿宋"/>
          <w:sz w:val="24"/>
          <w:szCs w:val="24"/>
          <w:highlight w:val="none"/>
        </w:rPr>
      </w:pPr>
      <w:r>
        <w:rPr>
          <w:rFonts w:hint="eastAsia" w:ascii="仿宋" w:hAnsi="仿宋" w:eastAsia="仿宋" w:cs="仿宋"/>
          <w:kern w:val="0"/>
          <w:sz w:val="24"/>
          <w:szCs w:val="24"/>
          <w:highlight w:val="none"/>
        </w:rPr>
        <w:t>本次采购</w:t>
      </w:r>
      <w:r>
        <w:rPr>
          <w:rFonts w:hint="eastAsia" w:ascii="仿宋" w:hAnsi="仿宋" w:cs="仿宋"/>
          <w:kern w:val="0"/>
          <w:sz w:val="24"/>
          <w:szCs w:val="24"/>
          <w:highlight w:val="none"/>
          <w:lang w:val="en-US" w:eastAsia="zh-CN"/>
        </w:rPr>
        <w:t>将</w:t>
      </w:r>
      <w:r>
        <w:rPr>
          <w:rFonts w:hint="eastAsia" w:ascii="仿宋" w:hAnsi="仿宋" w:eastAsia="仿宋" w:cs="仿宋"/>
          <w:kern w:val="0"/>
          <w:sz w:val="24"/>
          <w:szCs w:val="24"/>
          <w:highlight w:val="none"/>
        </w:rPr>
        <w:t>确定1家供应商负责本届</w:t>
      </w:r>
      <w:r>
        <w:rPr>
          <w:rFonts w:hint="eastAsia" w:ascii="仿宋" w:hAnsi="仿宋" w:cs="仿宋"/>
          <w:kern w:val="0"/>
          <w:sz w:val="24"/>
          <w:szCs w:val="24"/>
          <w:highlight w:val="none"/>
          <w:lang w:val="en-US" w:eastAsia="zh-CN"/>
        </w:rPr>
        <w:t>金雁湖迎春灯光</w:t>
      </w:r>
      <w:r>
        <w:rPr>
          <w:rFonts w:hint="eastAsia" w:ascii="仿宋" w:hAnsi="仿宋" w:eastAsia="仿宋" w:cs="仿宋"/>
          <w:kern w:val="0"/>
          <w:sz w:val="24"/>
          <w:szCs w:val="24"/>
          <w:highlight w:val="none"/>
        </w:rPr>
        <w:t>及氛围的设计制作及安装、后期保障等相关工作。</w:t>
      </w:r>
    </w:p>
    <w:bookmarkEnd w:id="0"/>
    <w:bookmarkEnd w:id="1"/>
    <w:bookmarkEnd w:id="2"/>
    <w:bookmarkEnd w:id="3"/>
    <w:bookmarkEnd w:id="4"/>
    <w:bookmarkEnd w:id="5"/>
    <w:bookmarkEnd w:id="6"/>
    <w:bookmarkEnd w:id="7"/>
    <w:p w14:paraId="7D149ED6">
      <w:pPr>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360" w:lineRule="auto"/>
        <w:ind w:left="426" w:leftChars="0" w:right="-58" w:rightChars="-24"/>
        <w:jc w:val="left"/>
        <w:textAlignment w:val="auto"/>
        <w:outlineLvl w:val="1"/>
        <w:rPr>
          <w:rFonts w:hint="eastAsia" w:ascii="仿宋" w:hAnsi="仿宋" w:eastAsia="仿宋" w:cs="仿宋"/>
          <w:b/>
          <w:bCs/>
          <w:sz w:val="24"/>
          <w:szCs w:val="24"/>
        </w:rPr>
      </w:pPr>
      <w:r>
        <w:rPr>
          <w:rFonts w:hint="eastAsia" w:ascii="仿宋" w:hAnsi="仿宋" w:eastAsia="仿宋" w:cs="仿宋"/>
          <w:b/>
          <w:bCs/>
          <w:sz w:val="24"/>
          <w:szCs w:val="24"/>
        </w:rPr>
        <w:t>二、技术服务要求</w:t>
      </w:r>
    </w:p>
    <w:p w14:paraId="0E8128A5">
      <w:pPr>
        <w:keepNext w:val="0"/>
        <w:keepLines w:val="0"/>
        <w:pageBreakBefore w:val="0"/>
        <w:widowControl/>
        <w:kinsoku/>
        <w:wordWrap/>
        <w:overflowPunct/>
        <w:topLinePunct w:val="0"/>
        <w:autoSpaceDE/>
        <w:autoSpaceDN/>
        <w:bidi w:val="0"/>
        <w:adjustRightInd/>
        <w:snapToGrid/>
        <w:spacing w:line="360" w:lineRule="auto"/>
        <w:ind w:left="426" w:right="-58" w:rightChars="-24"/>
        <w:jc w:val="left"/>
        <w:textAlignment w:val="auto"/>
        <w:outlineLvl w:val="1"/>
        <w:rPr>
          <w:rFonts w:hint="eastAsia" w:ascii="仿宋" w:hAnsi="仿宋" w:eastAsia="仿宋" w:cs="仿宋"/>
          <w:b/>
          <w:bCs/>
          <w:sz w:val="24"/>
          <w:szCs w:val="24"/>
        </w:rPr>
      </w:pPr>
      <w:r>
        <w:rPr>
          <w:rFonts w:hint="eastAsia" w:ascii="仿宋" w:hAnsi="仿宋" w:eastAsia="仿宋" w:cs="仿宋"/>
          <w:b/>
          <w:bCs/>
          <w:sz w:val="24"/>
          <w:szCs w:val="24"/>
        </w:rPr>
        <w:t>★（一）采购内容</w:t>
      </w:r>
    </w:p>
    <w:p w14:paraId="5B5ECB4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rPr>
        <w:t>202</w:t>
      </w:r>
      <w:r>
        <w:rPr>
          <w:rFonts w:hint="eastAsia" w:ascii="仿宋" w:hAnsi="仿宋" w:cs="仿宋"/>
          <w:sz w:val="24"/>
          <w:szCs w:val="24"/>
          <w:lang w:val="en-US" w:eastAsia="zh-CN"/>
        </w:rPr>
        <w:t>5广汉金雁湖公园迎春氛围营造</w:t>
      </w:r>
      <w:r>
        <w:rPr>
          <w:rFonts w:hint="eastAsia" w:ascii="仿宋" w:hAnsi="仿宋" w:eastAsia="仿宋" w:cs="仿宋"/>
          <w:sz w:val="24"/>
          <w:szCs w:val="24"/>
        </w:rPr>
        <w:t>服务，含设计、制作、安装、维护、拆除、</w:t>
      </w:r>
      <w:r>
        <w:rPr>
          <w:rFonts w:hint="eastAsia" w:ascii="仿宋" w:hAnsi="仿宋" w:cs="仿宋"/>
          <w:sz w:val="24"/>
          <w:szCs w:val="24"/>
          <w:lang w:val="en-US" w:eastAsia="zh-CN"/>
        </w:rPr>
        <w:t>并按采购人要求进行</w:t>
      </w:r>
      <w:r>
        <w:rPr>
          <w:rFonts w:hint="eastAsia" w:ascii="仿宋" w:hAnsi="仿宋" w:eastAsia="仿宋" w:cs="仿宋"/>
          <w:sz w:val="24"/>
          <w:szCs w:val="24"/>
        </w:rPr>
        <w:t>回收</w:t>
      </w:r>
      <w:r>
        <w:rPr>
          <w:rFonts w:hint="eastAsia" w:ascii="仿宋" w:hAnsi="仿宋" w:cs="仿宋"/>
          <w:sz w:val="24"/>
          <w:szCs w:val="24"/>
          <w:lang w:val="en-US" w:eastAsia="zh-CN"/>
        </w:rPr>
        <w:t>处置</w:t>
      </w:r>
      <w:r>
        <w:rPr>
          <w:rFonts w:hint="eastAsia" w:ascii="仿宋" w:hAnsi="仿宋" w:eastAsia="仿宋" w:cs="仿宋"/>
          <w:sz w:val="24"/>
          <w:szCs w:val="24"/>
        </w:rPr>
        <w:t>。</w:t>
      </w:r>
    </w:p>
    <w:p w14:paraId="7FA9503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rPr>
      </w:pPr>
      <w:r>
        <w:rPr>
          <w:rFonts w:hint="eastAsia" w:ascii="仿宋" w:hAnsi="仿宋" w:cs="仿宋"/>
          <w:sz w:val="24"/>
          <w:szCs w:val="24"/>
          <w:lang w:val="en-US" w:eastAsia="zh-CN"/>
        </w:rPr>
        <w:t>12处灯光秀</w:t>
      </w:r>
      <w:r>
        <w:rPr>
          <w:rFonts w:hint="eastAsia" w:ascii="仿宋" w:hAnsi="仿宋" w:eastAsia="仿宋" w:cs="仿宋"/>
          <w:sz w:val="24"/>
          <w:szCs w:val="24"/>
          <w:lang w:val="en-US" w:eastAsia="zh-CN"/>
        </w:rPr>
        <w:t>安装位置</w:t>
      </w:r>
      <w:r>
        <w:rPr>
          <w:rFonts w:hint="eastAsia" w:ascii="仿宋" w:hAnsi="仿宋" w:cs="仿宋"/>
          <w:sz w:val="24"/>
          <w:szCs w:val="24"/>
          <w:lang w:val="en-US" w:eastAsia="zh-CN"/>
        </w:rPr>
        <w:t>及</w:t>
      </w:r>
      <w:r>
        <w:rPr>
          <w:rFonts w:hint="eastAsia" w:ascii="仿宋" w:hAnsi="仿宋" w:eastAsia="仿宋" w:cs="仿宋"/>
          <w:sz w:val="24"/>
          <w:szCs w:val="24"/>
        </w:rPr>
        <w:t>主要</w:t>
      </w:r>
      <w:r>
        <w:rPr>
          <w:rFonts w:hint="eastAsia" w:ascii="仿宋" w:hAnsi="仿宋" w:cs="仿宋"/>
          <w:sz w:val="24"/>
          <w:szCs w:val="24"/>
          <w:lang w:val="en-US" w:eastAsia="zh-CN"/>
        </w:rPr>
        <w:t>灯具</w:t>
      </w:r>
      <w:r>
        <w:rPr>
          <w:rFonts w:hint="eastAsia" w:ascii="仿宋" w:hAnsi="仿宋" w:eastAsia="仿宋" w:cs="仿宋"/>
          <w:sz w:val="24"/>
          <w:szCs w:val="24"/>
        </w:rPr>
        <w:t>规格尺寸（见下表）；每</w:t>
      </w:r>
      <w:r>
        <w:rPr>
          <w:rFonts w:hint="eastAsia" w:ascii="仿宋" w:hAnsi="仿宋" w:cs="仿宋"/>
          <w:sz w:val="24"/>
          <w:szCs w:val="24"/>
          <w:lang w:val="en-US" w:eastAsia="zh-CN"/>
        </w:rPr>
        <w:t>处氛围</w:t>
      </w:r>
      <w:r>
        <w:rPr>
          <w:rFonts w:hint="eastAsia" w:ascii="仿宋" w:hAnsi="仿宋" w:eastAsia="仿宋" w:cs="仿宋"/>
          <w:sz w:val="24"/>
          <w:szCs w:val="24"/>
        </w:rPr>
        <w:t>由采购人提供电源配电箱。</w:t>
      </w:r>
    </w:p>
    <w:p w14:paraId="78056556">
      <w:pPr>
        <w:spacing w:line="400" w:lineRule="exact"/>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b/>
        </w:rPr>
        <w:t>202</w:t>
      </w:r>
      <w:r>
        <w:rPr>
          <w:rFonts w:hint="eastAsia" w:ascii="方正仿宋简体" w:hAnsi="方正仿宋简体" w:eastAsia="方正仿宋简体" w:cs="方正仿宋简体"/>
          <w:b/>
          <w:lang w:val="en-US" w:eastAsia="zh-CN"/>
        </w:rPr>
        <w:t>5广汉金雁湖公园迎春氛围营造服务</w:t>
      </w:r>
      <w:r>
        <w:rPr>
          <w:rFonts w:hint="eastAsia" w:ascii="方正仿宋简体" w:hAnsi="方正仿宋简体" w:eastAsia="方正仿宋简体" w:cs="方正仿宋简体"/>
          <w:b/>
        </w:rPr>
        <w:t>规格表</w:t>
      </w:r>
    </w:p>
    <w:tbl>
      <w:tblPr>
        <w:tblStyle w:val="3"/>
        <w:tblW w:w="9308" w:type="dxa"/>
        <w:jc w:val="center"/>
        <w:tblLayout w:type="fixed"/>
        <w:tblCellMar>
          <w:top w:w="0" w:type="dxa"/>
          <w:left w:w="108" w:type="dxa"/>
          <w:bottom w:w="0" w:type="dxa"/>
          <w:right w:w="108" w:type="dxa"/>
        </w:tblCellMar>
      </w:tblPr>
      <w:tblGrid>
        <w:gridCol w:w="734"/>
        <w:gridCol w:w="1336"/>
        <w:gridCol w:w="2550"/>
        <w:gridCol w:w="4688"/>
      </w:tblGrid>
      <w:tr w14:paraId="7A125F07">
        <w:tblPrEx>
          <w:tblCellMar>
            <w:top w:w="0" w:type="dxa"/>
            <w:left w:w="108" w:type="dxa"/>
            <w:bottom w:w="0" w:type="dxa"/>
            <w:right w:w="108" w:type="dxa"/>
          </w:tblCellMar>
        </w:tblPrEx>
        <w:trPr>
          <w:trHeight w:val="710" w:hRule="atLeas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14:paraId="6969A911">
            <w:pPr>
              <w:snapToGrid w:val="0"/>
              <w:spacing w:line="440" w:lineRule="exact"/>
              <w:jc w:val="center"/>
              <w:rPr>
                <w:rFonts w:hint="eastAsia" w:ascii="方正仿宋简体" w:hAnsi="方正仿宋简体" w:eastAsia="方正仿宋简体" w:cs="方正仿宋简体"/>
                <w:b w:val="0"/>
                <w:bCs/>
                <w:color w:val="auto"/>
              </w:rPr>
            </w:pPr>
            <w:r>
              <w:rPr>
                <w:rFonts w:hint="eastAsia" w:ascii="方正仿宋简体" w:hAnsi="方正仿宋简体" w:eastAsia="方正仿宋简体" w:cs="方正仿宋简体"/>
                <w:b w:val="0"/>
                <w:bCs/>
                <w:color w:val="auto"/>
              </w:rPr>
              <w:t>编号</w:t>
            </w:r>
          </w:p>
        </w:tc>
        <w:tc>
          <w:tcPr>
            <w:tcW w:w="1336" w:type="dxa"/>
            <w:tcBorders>
              <w:top w:val="single" w:color="auto" w:sz="4" w:space="0"/>
              <w:left w:val="nil"/>
              <w:bottom w:val="single" w:color="auto" w:sz="4" w:space="0"/>
              <w:right w:val="single" w:color="auto" w:sz="4" w:space="0"/>
            </w:tcBorders>
            <w:noWrap w:val="0"/>
            <w:vAlign w:val="center"/>
          </w:tcPr>
          <w:p w14:paraId="0D37B75C">
            <w:pPr>
              <w:snapToGrid w:val="0"/>
              <w:spacing w:line="440" w:lineRule="exact"/>
              <w:jc w:val="center"/>
              <w:rPr>
                <w:rFonts w:hint="eastAsia" w:ascii="方正仿宋简体" w:hAnsi="方正仿宋简体" w:eastAsia="方正仿宋简体" w:cs="方正仿宋简体"/>
                <w:b w:val="0"/>
                <w:bCs/>
                <w:color w:val="auto"/>
              </w:rPr>
            </w:pPr>
            <w:r>
              <w:rPr>
                <w:rFonts w:hint="eastAsia" w:ascii="方正仿宋简体" w:hAnsi="方正仿宋简体" w:eastAsia="方正仿宋简体" w:cs="方正仿宋简体"/>
                <w:b w:val="0"/>
                <w:bCs/>
                <w:color w:val="auto"/>
                <w:lang w:val="en-US" w:eastAsia="zh-CN"/>
              </w:rPr>
              <w:t>安装</w:t>
            </w:r>
            <w:r>
              <w:rPr>
                <w:rFonts w:hint="eastAsia" w:ascii="方正仿宋简体" w:hAnsi="方正仿宋简体" w:eastAsia="方正仿宋简体" w:cs="方正仿宋简体"/>
                <w:b w:val="0"/>
                <w:bCs/>
                <w:color w:val="auto"/>
              </w:rPr>
              <w:t>位置</w:t>
            </w:r>
          </w:p>
        </w:tc>
        <w:tc>
          <w:tcPr>
            <w:tcW w:w="2550" w:type="dxa"/>
            <w:tcBorders>
              <w:top w:val="single" w:color="auto" w:sz="4" w:space="0"/>
              <w:left w:val="nil"/>
              <w:bottom w:val="single" w:color="auto" w:sz="4" w:space="0"/>
              <w:right w:val="single" w:color="auto" w:sz="4" w:space="0"/>
            </w:tcBorders>
            <w:noWrap w:val="0"/>
            <w:vAlign w:val="center"/>
          </w:tcPr>
          <w:p w14:paraId="75460E40">
            <w:pPr>
              <w:snapToGrid w:val="0"/>
              <w:spacing w:line="440" w:lineRule="exact"/>
              <w:jc w:val="center"/>
              <w:rPr>
                <w:rFonts w:hint="eastAsia" w:ascii="方正仿宋简体" w:hAnsi="方正仿宋简体" w:eastAsia="方正仿宋简体" w:cs="方正仿宋简体"/>
                <w:b w:val="0"/>
                <w:bCs/>
                <w:color w:val="auto"/>
                <w:sz w:val="24"/>
                <w:szCs w:val="24"/>
                <w:lang w:val="en-US" w:eastAsia="zh-CN"/>
              </w:rPr>
            </w:pPr>
            <w:r>
              <w:rPr>
                <w:rFonts w:hint="eastAsia" w:ascii="方正仿宋简体" w:hAnsi="方正仿宋简体" w:eastAsia="方正仿宋简体" w:cs="方正仿宋简体"/>
                <w:b w:val="0"/>
                <w:bCs/>
                <w:color w:val="auto"/>
                <w:sz w:val="24"/>
                <w:szCs w:val="24"/>
                <w:lang w:val="en-US" w:eastAsia="zh-CN"/>
              </w:rPr>
              <w:t>主材名称及规格数量</w:t>
            </w:r>
          </w:p>
        </w:tc>
        <w:tc>
          <w:tcPr>
            <w:tcW w:w="4688" w:type="dxa"/>
            <w:tcBorders>
              <w:top w:val="single" w:color="auto" w:sz="4" w:space="0"/>
              <w:left w:val="nil"/>
              <w:bottom w:val="single" w:color="auto" w:sz="4" w:space="0"/>
              <w:right w:val="single" w:color="auto" w:sz="4" w:space="0"/>
            </w:tcBorders>
            <w:noWrap w:val="0"/>
            <w:vAlign w:val="center"/>
          </w:tcPr>
          <w:p w14:paraId="3BAC79F1">
            <w:pPr>
              <w:snapToGrid w:val="0"/>
              <w:spacing w:line="440" w:lineRule="exact"/>
              <w:jc w:val="center"/>
              <w:rPr>
                <w:rFonts w:hint="eastAsia" w:ascii="方正仿宋简体" w:hAnsi="方正仿宋简体" w:eastAsia="方正仿宋简体" w:cs="方正仿宋简体"/>
                <w:b w:val="0"/>
                <w:bCs/>
                <w:color w:val="auto"/>
                <w:lang w:val="en-US" w:eastAsia="zh-CN"/>
              </w:rPr>
            </w:pPr>
            <w:r>
              <w:rPr>
                <w:rFonts w:hint="eastAsia" w:ascii="方正仿宋简体" w:hAnsi="方正仿宋简体" w:eastAsia="方正仿宋简体" w:cs="方正仿宋简体"/>
                <w:b w:val="0"/>
                <w:bCs/>
                <w:color w:val="auto"/>
                <w:lang w:val="en-US" w:eastAsia="zh-CN"/>
              </w:rPr>
              <w:t>安装及服务要求</w:t>
            </w:r>
          </w:p>
        </w:tc>
      </w:tr>
      <w:tr w14:paraId="3A9240E0">
        <w:tblPrEx>
          <w:tblCellMar>
            <w:top w:w="0" w:type="dxa"/>
            <w:left w:w="108" w:type="dxa"/>
            <w:bottom w:w="0" w:type="dxa"/>
            <w:right w:w="108" w:type="dxa"/>
          </w:tblCellMar>
        </w:tblPrEx>
        <w:trPr>
          <w:trHeight w:val="915" w:hRule="atLeast"/>
          <w:jc w:val="center"/>
        </w:trPr>
        <w:tc>
          <w:tcPr>
            <w:tcW w:w="734" w:type="dxa"/>
            <w:tcBorders>
              <w:top w:val="nil"/>
              <w:left w:val="single" w:color="auto" w:sz="4" w:space="0"/>
              <w:bottom w:val="single" w:color="auto" w:sz="4" w:space="0"/>
              <w:right w:val="single" w:color="auto" w:sz="4" w:space="0"/>
            </w:tcBorders>
            <w:noWrap w:val="0"/>
            <w:vAlign w:val="center"/>
          </w:tcPr>
          <w:p w14:paraId="383E3F45">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1</w:t>
            </w:r>
          </w:p>
        </w:tc>
        <w:tc>
          <w:tcPr>
            <w:tcW w:w="1336" w:type="dxa"/>
            <w:tcBorders>
              <w:top w:val="nil"/>
              <w:left w:val="nil"/>
              <w:bottom w:val="single" w:color="auto" w:sz="4" w:space="0"/>
              <w:right w:val="single" w:color="auto" w:sz="4" w:space="0"/>
            </w:tcBorders>
            <w:noWrap w:val="0"/>
            <w:vAlign w:val="center"/>
          </w:tcPr>
          <w:p w14:paraId="14BC1D8E">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金雁湖公园停车场</w:t>
            </w:r>
          </w:p>
        </w:tc>
        <w:tc>
          <w:tcPr>
            <w:tcW w:w="2550" w:type="dxa"/>
            <w:tcBorders>
              <w:top w:val="nil"/>
              <w:left w:val="nil"/>
              <w:bottom w:val="single" w:color="auto" w:sz="4" w:space="0"/>
              <w:right w:val="single" w:color="auto" w:sz="4" w:space="0"/>
            </w:tcBorders>
            <w:noWrap w:val="0"/>
            <w:vAlign w:val="center"/>
          </w:tcPr>
          <w:p w14:paraId="03EB6F0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名称：柿子灯笼</w:t>
            </w:r>
          </w:p>
          <w:p w14:paraId="46A8B155">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规格：20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16</w:t>
            </w:r>
            <w:r>
              <w:rPr>
                <w:rFonts w:hint="eastAsia" w:ascii="方正仿宋简体" w:hAnsi="方正仿宋简体" w:eastAsia="方正仿宋简体" w:cs="方正仿宋简体"/>
                <w:b w:val="0"/>
                <w:bCs/>
                <w:color w:val="auto"/>
                <w:sz w:val="21"/>
                <w:szCs w:val="21"/>
                <w:lang w:val="en-US" w:eastAsia="zh-CN"/>
              </w:rPr>
              <w:t>cm/5W</w:t>
            </w:r>
          </w:p>
          <w:p w14:paraId="38EA165D">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数量：180只</w:t>
            </w:r>
          </w:p>
        </w:tc>
        <w:tc>
          <w:tcPr>
            <w:tcW w:w="4688" w:type="dxa"/>
            <w:tcBorders>
              <w:top w:val="nil"/>
              <w:left w:val="nil"/>
              <w:bottom w:val="single" w:color="auto" w:sz="4" w:space="0"/>
              <w:right w:val="single" w:color="auto" w:sz="4" w:space="0"/>
            </w:tcBorders>
            <w:noWrap w:val="0"/>
            <w:vAlign w:val="center"/>
          </w:tcPr>
          <w:p w14:paraId="612C367E">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停车场36颗树冠高低错落悬挂红黄两色柿子灯笼240只，寓意（柿柿如意）；包含辅材辅料及电线电缆；包含后期巡视维护等服务。</w:t>
            </w:r>
          </w:p>
        </w:tc>
      </w:tr>
      <w:tr w14:paraId="5087ADFE">
        <w:tblPrEx>
          <w:tblCellMar>
            <w:top w:w="0" w:type="dxa"/>
            <w:left w:w="108" w:type="dxa"/>
            <w:bottom w:w="0" w:type="dxa"/>
            <w:right w:w="108" w:type="dxa"/>
          </w:tblCellMar>
        </w:tblPrEx>
        <w:trPr>
          <w:trHeight w:val="894" w:hRule="atLeast"/>
          <w:jc w:val="center"/>
        </w:trPr>
        <w:tc>
          <w:tcPr>
            <w:tcW w:w="734" w:type="dxa"/>
            <w:vMerge w:val="restart"/>
            <w:tcBorders>
              <w:top w:val="nil"/>
              <w:left w:val="single" w:color="auto" w:sz="4" w:space="0"/>
              <w:right w:val="single" w:color="auto" w:sz="4" w:space="0"/>
            </w:tcBorders>
            <w:noWrap w:val="0"/>
            <w:vAlign w:val="center"/>
          </w:tcPr>
          <w:p w14:paraId="68D87F88">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2</w:t>
            </w:r>
          </w:p>
        </w:tc>
        <w:tc>
          <w:tcPr>
            <w:tcW w:w="1336" w:type="dxa"/>
            <w:vMerge w:val="restart"/>
            <w:tcBorders>
              <w:top w:val="nil"/>
              <w:left w:val="nil"/>
              <w:right w:val="single" w:color="auto" w:sz="4" w:space="0"/>
            </w:tcBorders>
            <w:noWrap w:val="0"/>
            <w:vAlign w:val="center"/>
          </w:tcPr>
          <w:p w14:paraId="31594547">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海棠林</w:t>
            </w:r>
          </w:p>
        </w:tc>
        <w:tc>
          <w:tcPr>
            <w:tcW w:w="2550" w:type="dxa"/>
            <w:tcBorders>
              <w:top w:val="nil"/>
              <w:left w:val="nil"/>
              <w:bottom w:val="single" w:color="auto" w:sz="4" w:space="0"/>
              <w:right w:val="single" w:color="auto" w:sz="4" w:space="0"/>
            </w:tcBorders>
            <w:noWrap w:val="0"/>
            <w:vAlign w:val="center"/>
          </w:tcPr>
          <w:p w14:paraId="1DCB7A74">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名称：三星堆脸谱灯笼</w:t>
            </w:r>
          </w:p>
          <w:p w14:paraId="35B9FE3E">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60cm/5W</w:t>
            </w:r>
          </w:p>
          <w:p w14:paraId="31F5B0FB">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数量：150只</w:t>
            </w:r>
          </w:p>
        </w:tc>
        <w:tc>
          <w:tcPr>
            <w:tcW w:w="4688" w:type="dxa"/>
            <w:vMerge w:val="restart"/>
            <w:tcBorders>
              <w:top w:val="nil"/>
              <w:left w:val="nil"/>
              <w:right w:val="single" w:color="auto" w:sz="4" w:space="0"/>
            </w:tcBorders>
            <w:noWrap w:val="0"/>
            <w:vAlign w:val="center"/>
          </w:tcPr>
          <w:p w14:paraId="299104DA">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挑选海棠树26丛悬挂柿子串串灯笼进行红黄点缀，步行道34颗树木枝干缠绕暖色满天星，加挂三星堆神鸟灯笼、三星堆脸谱灯笼、红灯笼三种灯笼均匀分布，烘托春节氛围；包含辅材辅料及电线电缆；包含后期巡视维护等服务。</w:t>
            </w:r>
          </w:p>
        </w:tc>
      </w:tr>
      <w:tr w14:paraId="2F3DAD64">
        <w:tblPrEx>
          <w:tblCellMar>
            <w:top w:w="0" w:type="dxa"/>
            <w:left w:w="108" w:type="dxa"/>
            <w:bottom w:w="0" w:type="dxa"/>
            <w:right w:w="108" w:type="dxa"/>
          </w:tblCellMar>
        </w:tblPrEx>
        <w:trPr>
          <w:trHeight w:val="820" w:hRule="atLeast"/>
          <w:jc w:val="center"/>
        </w:trPr>
        <w:tc>
          <w:tcPr>
            <w:tcW w:w="734" w:type="dxa"/>
            <w:vMerge w:val="continue"/>
            <w:tcBorders>
              <w:left w:val="single" w:color="auto" w:sz="4" w:space="0"/>
              <w:right w:val="single" w:color="auto" w:sz="4" w:space="0"/>
            </w:tcBorders>
            <w:noWrap w:val="0"/>
            <w:vAlign w:val="center"/>
          </w:tcPr>
          <w:p w14:paraId="214DFC8E">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right w:val="single" w:color="auto" w:sz="4" w:space="0"/>
            </w:tcBorders>
            <w:noWrap w:val="0"/>
            <w:vAlign w:val="center"/>
          </w:tcPr>
          <w:p w14:paraId="48DF670C">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nil"/>
              <w:left w:val="nil"/>
              <w:bottom w:val="single" w:color="auto" w:sz="4" w:space="0"/>
              <w:right w:val="single" w:color="auto" w:sz="4" w:space="0"/>
            </w:tcBorders>
            <w:noWrap w:val="0"/>
            <w:vAlign w:val="center"/>
          </w:tcPr>
          <w:p w14:paraId="31282C5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名称：柿子串串灯笼</w:t>
            </w:r>
          </w:p>
          <w:p w14:paraId="38A49F0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规格：直径18</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14cm</w:t>
            </w:r>
            <w:r>
              <w:rPr>
                <w:rFonts w:hint="eastAsia" w:ascii="方正仿宋简体" w:hAnsi="方正仿宋简体" w:eastAsia="方正仿宋简体" w:cs="方正仿宋简体"/>
                <w:b w:val="0"/>
                <w:bCs/>
                <w:color w:val="auto"/>
                <w:sz w:val="21"/>
                <w:szCs w:val="21"/>
                <w:highlight w:val="none"/>
                <w:lang w:val="en-US" w:eastAsia="zh-CN"/>
              </w:rPr>
              <w:t>/5W</w:t>
            </w:r>
          </w:p>
          <w:p w14:paraId="617C693F">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数量：200串</w:t>
            </w:r>
          </w:p>
        </w:tc>
        <w:tc>
          <w:tcPr>
            <w:tcW w:w="4688" w:type="dxa"/>
            <w:vMerge w:val="continue"/>
            <w:tcBorders>
              <w:left w:val="nil"/>
              <w:right w:val="single" w:color="auto" w:sz="4" w:space="0"/>
            </w:tcBorders>
            <w:noWrap w:val="0"/>
            <w:vAlign w:val="center"/>
          </w:tcPr>
          <w:p w14:paraId="58A7436E">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490FB2D9">
        <w:tblPrEx>
          <w:tblCellMar>
            <w:top w:w="0" w:type="dxa"/>
            <w:left w:w="108" w:type="dxa"/>
            <w:bottom w:w="0" w:type="dxa"/>
            <w:right w:w="108" w:type="dxa"/>
          </w:tblCellMar>
        </w:tblPrEx>
        <w:trPr>
          <w:trHeight w:val="1028"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3C3A7836">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c>
          <w:tcPr>
            <w:tcW w:w="1336" w:type="dxa"/>
            <w:vMerge w:val="continue"/>
            <w:tcBorders>
              <w:left w:val="nil"/>
              <w:bottom w:val="single" w:color="auto" w:sz="4" w:space="0"/>
              <w:right w:val="single" w:color="auto" w:sz="4" w:space="0"/>
            </w:tcBorders>
            <w:noWrap w:val="0"/>
            <w:vAlign w:val="center"/>
          </w:tcPr>
          <w:p w14:paraId="6ABE1E1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c>
          <w:tcPr>
            <w:tcW w:w="2550" w:type="dxa"/>
            <w:tcBorders>
              <w:top w:val="nil"/>
              <w:left w:val="nil"/>
              <w:bottom w:val="single" w:color="auto" w:sz="4" w:space="0"/>
              <w:right w:val="single" w:color="auto" w:sz="4" w:space="0"/>
            </w:tcBorders>
            <w:noWrap w:val="0"/>
            <w:vAlign w:val="center"/>
          </w:tcPr>
          <w:p w14:paraId="6DEA0450">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名称：满天星</w:t>
            </w:r>
          </w:p>
          <w:p w14:paraId="751BFD0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规格：8W/串/12珠</w:t>
            </w:r>
          </w:p>
          <w:p w14:paraId="2A146B12">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数量：3000串</w:t>
            </w:r>
          </w:p>
        </w:tc>
        <w:tc>
          <w:tcPr>
            <w:tcW w:w="4688" w:type="dxa"/>
            <w:vMerge w:val="continue"/>
            <w:tcBorders>
              <w:left w:val="nil"/>
              <w:bottom w:val="single" w:color="auto" w:sz="4" w:space="0"/>
              <w:right w:val="single" w:color="auto" w:sz="4" w:space="0"/>
            </w:tcBorders>
            <w:noWrap w:val="0"/>
            <w:vAlign w:val="center"/>
          </w:tcPr>
          <w:p w14:paraId="0F7CA05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4FB690EC">
        <w:tblPrEx>
          <w:tblCellMar>
            <w:top w:w="0" w:type="dxa"/>
            <w:left w:w="108" w:type="dxa"/>
            <w:bottom w:w="0" w:type="dxa"/>
            <w:right w:w="108" w:type="dxa"/>
          </w:tblCellMar>
        </w:tblPrEx>
        <w:trPr>
          <w:trHeight w:val="929" w:hRule="atLeast"/>
          <w:jc w:val="center"/>
        </w:trPr>
        <w:tc>
          <w:tcPr>
            <w:tcW w:w="734" w:type="dxa"/>
            <w:vMerge w:val="restart"/>
            <w:tcBorders>
              <w:top w:val="nil"/>
              <w:left w:val="single" w:color="auto" w:sz="4" w:space="0"/>
              <w:right w:val="single" w:color="auto" w:sz="4" w:space="0"/>
            </w:tcBorders>
            <w:noWrap w:val="0"/>
            <w:vAlign w:val="center"/>
          </w:tcPr>
          <w:p w14:paraId="1C031D0D">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3</w:t>
            </w:r>
          </w:p>
        </w:tc>
        <w:tc>
          <w:tcPr>
            <w:tcW w:w="1336" w:type="dxa"/>
            <w:vMerge w:val="restart"/>
            <w:tcBorders>
              <w:top w:val="nil"/>
              <w:left w:val="nil"/>
              <w:right w:val="single" w:color="auto" w:sz="4" w:space="0"/>
            </w:tcBorders>
            <w:noWrap w:val="0"/>
            <w:vAlign w:val="center"/>
          </w:tcPr>
          <w:p w14:paraId="49669656">
            <w:pPr>
              <w:snapToGrid w:val="0"/>
              <w:spacing w:line="240" w:lineRule="auto"/>
              <w:jc w:val="center"/>
              <w:rPr>
                <w:rFonts w:hint="eastAsia" w:ascii="方正仿宋简体" w:hAnsi="方正仿宋简体" w:eastAsia="方正仿宋简体" w:cs="方正仿宋简体"/>
                <w:b w:val="0"/>
                <w:bCs/>
                <w:color w:val="auto"/>
                <w:sz w:val="24"/>
                <w:szCs w:val="24"/>
                <w:highlight w:val="none"/>
              </w:rPr>
            </w:pPr>
            <w:r>
              <w:rPr>
                <w:rFonts w:hint="eastAsia" w:ascii="方正仿宋简体" w:hAnsi="方正仿宋简体" w:eastAsia="方正仿宋简体" w:cs="方正仿宋简体"/>
                <w:b w:val="0"/>
                <w:bCs/>
                <w:color w:val="auto"/>
                <w:sz w:val="24"/>
                <w:szCs w:val="24"/>
                <w:highlight w:val="none"/>
                <w:lang w:val="en-US" w:eastAsia="zh-CN"/>
              </w:rPr>
              <w:t>儿童游乐区</w:t>
            </w:r>
          </w:p>
        </w:tc>
        <w:tc>
          <w:tcPr>
            <w:tcW w:w="2550" w:type="dxa"/>
            <w:tcBorders>
              <w:top w:val="nil"/>
              <w:left w:val="nil"/>
              <w:bottom w:val="single" w:color="auto" w:sz="4" w:space="0"/>
              <w:right w:val="single" w:color="auto" w:sz="4" w:space="0"/>
            </w:tcBorders>
            <w:noWrap w:val="0"/>
            <w:vAlign w:val="center"/>
          </w:tcPr>
          <w:p w14:paraId="5558564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名称：红灯笼</w:t>
            </w:r>
          </w:p>
          <w:p w14:paraId="57439FC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60cm</w:t>
            </w:r>
          </w:p>
          <w:p w14:paraId="264E97C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数量：25个</w:t>
            </w:r>
          </w:p>
        </w:tc>
        <w:tc>
          <w:tcPr>
            <w:tcW w:w="4688" w:type="dxa"/>
            <w:vMerge w:val="restart"/>
            <w:tcBorders>
              <w:top w:val="nil"/>
              <w:left w:val="nil"/>
              <w:right w:val="single" w:color="auto" w:sz="4" w:space="0"/>
            </w:tcBorders>
            <w:noWrap w:val="0"/>
            <w:vAlign w:val="center"/>
          </w:tcPr>
          <w:p w14:paraId="43862B4C">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5颗树悬挂红灯笼和暖色藤球灯，草坪用满天星点缀自然生态元素寓意春意盎然；包含辅材辅料及电线电缆；包含后期巡视维护等服务。</w:t>
            </w:r>
          </w:p>
        </w:tc>
      </w:tr>
      <w:tr w14:paraId="52A98C21">
        <w:tblPrEx>
          <w:tblCellMar>
            <w:top w:w="0" w:type="dxa"/>
            <w:left w:w="108" w:type="dxa"/>
            <w:bottom w:w="0" w:type="dxa"/>
            <w:right w:w="108" w:type="dxa"/>
          </w:tblCellMar>
        </w:tblPrEx>
        <w:trPr>
          <w:trHeight w:val="878" w:hRule="atLeast"/>
          <w:jc w:val="center"/>
        </w:trPr>
        <w:tc>
          <w:tcPr>
            <w:tcW w:w="734" w:type="dxa"/>
            <w:vMerge w:val="continue"/>
            <w:tcBorders>
              <w:left w:val="single" w:color="auto" w:sz="4" w:space="0"/>
              <w:right w:val="single" w:color="auto" w:sz="4" w:space="0"/>
            </w:tcBorders>
            <w:noWrap w:val="0"/>
            <w:vAlign w:val="center"/>
          </w:tcPr>
          <w:p w14:paraId="1DA6C66A">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right w:val="single" w:color="auto" w:sz="4" w:space="0"/>
            </w:tcBorders>
            <w:noWrap w:val="0"/>
            <w:vAlign w:val="center"/>
          </w:tcPr>
          <w:p w14:paraId="72958C0A">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nil"/>
              <w:left w:val="nil"/>
              <w:bottom w:val="single" w:color="auto" w:sz="4" w:space="0"/>
              <w:right w:val="single" w:color="auto" w:sz="4" w:space="0"/>
            </w:tcBorders>
            <w:noWrap w:val="0"/>
            <w:vAlign w:val="center"/>
          </w:tcPr>
          <w:p w14:paraId="66AE813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名称：藤球灯</w:t>
            </w:r>
          </w:p>
          <w:p w14:paraId="6F0B8C17">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规格：直径30cm/5W</w:t>
            </w:r>
          </w:p>
          <w:p w14:paraId="48CBCF7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数量：25个</w:t>
            </w:r>
          </w:p>
        </w:tc>
        <w:tc>
          <w:tcPr>
            <w:tcW w:w="4688" w:type="dxa"/>
            <w:vMerge w:val="continue"/>
            <w:tcBorders>
              <w:left w:val="nil"/>
              <w:right w:val="single" w:color="auto" w:sz="4" w:space="0"/>
            </w:tcBorders>
            <w:noWrap w:val="0"/>
            <w:vAlign w:val="center"/>
          </w:tcPr>
          <w:p w14:paraId="4C2913A9">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0A9A1F61">
        <w:tblPrEx>
          <w:tblCellMar>
            <w:top w:w="0" w:type="dxa"/>
            <w:left w:w="108" w:type="dxa"/>
            <w:bottom w:w="0" w:type="dxa"/>
            <w:right w:w="108" w:type="dxa"/>
          </w:tblCellMar>
        </w:tblPrEx>
        <w:trPr>
          <w:trHeight w:val="1130"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183BA2B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c>
          <w:tcPr>
            <w:tcW w:w="1336" w:type="dxa"/>
            <w:vMerge w:val="continue"/>
            <w:tcBorders>
              <w:left w:val="nil"/>
              <w:bottom w:val="single" w:color="auto" w:sz="4" w:space="0"/>
              <w:right w:val="single" w:color="auto" w:sz="4" w:space="0"/>
            </w:tcBorders>
            <w:noWrap w:val="0"/>
            <w:vAlign w:val="center"/>
          </w:tcPr>
          <w:p w14:paraId="2B74BB50">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c>
          <w:tcPr>
            <w:tcW w:w="2550" w:type="dxa"/>
            <w:tcBorders>
              <w:top w:val="nil"/>
              <w:left w:val="nil"/>
              <w:bottom w:val="single" w:color="auto" w:sz="4" w:space="0"/>
              <w:right w:val="single" w:color="auto" w:sz="4" w:space="0"/>
            </w:tcBorders>
            <w:noWrap w:val="0"/>
            <w:vAlign w:val="center"/>
          </w:tcPr>
          <w:p w14:paraId="663013DF">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名称：满天星</w:t>
            </w:r>
          </w:p>
          <w:p w14:paraId="5E3C06CF">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规格：8W/串/12珠</w:t>
            </w:r>
          </w:p>
          <w:p w14:paraId="45B87AB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数量：400串</w:t>
            </w:r>
          </w:p>
        </w:tc>
        <w:tc>
          <w:tcPr>
            <w:tcW w:w="4688" w:type="dxa"/>
            <w:vMerge w:val="continue"/>
            <w:tcBorders>
              <w:left w:val="nil"/>
              <w:bottom w:val="single" w:color="auto" w:sz="4" w:space="0"/>
              <w:right w:val="single" w:color="auto" w:sz="4" w:space="0"/>
            </w:tcBorders>
            <w:noWrap w:val="0"/>
            <w:vAlign w:val="center"/>
          </w:tcPr>
          <w:p w14:paraId="2D748570">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45DAC706">
        <w:tblPrEx>
          <w:tblCellMar>
            <w:top w:w="0" w:type="dxa"/>
            <w:left w:w="108" w:type="dxa"/>
            <w:bottom w:w="0" w:type="dxa"/>
            <w:right w:w="108" w:type="dxa"/>
          </w:tblCellMar>
        </w:tblPrEx>
        <w:trPr>
          <w:trHeight w:val="466" w:hRule="atLeast"/>
          <w:jc w:val="center"/>
        </w:trPr>
        <w:tc>
          <w:tcPr>
            <w:tcW w:w="734" w:type="dxa"/>
            <w:vMerge w:val="restart"/>
            <w:tcBorders>
              <w:top w:val="nil"/>
              <w:left w:val="single" w:color="auto" w:sz="4" w:space="0"/>
              <w:right w:val="single" w:color="auto" w:sz="4" w:space="0"/>
            </w:tcBorders>
            <w:noWrap w:val="0"/>
            <w:vAlign w:val="center"/>
          </w:tcPr>
          <w:p w14:paraId="0085A8D4">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4</w:t>
            </w:r>
          </w:p>
        </w:tc>
        <w:tc>
          <w:tcPr>
            <w:tcW w:w="1336" w:type="dxa"/>
            <w:vMerge w:val="restart"/>
            <w:tcBorders>
              <w:top w:val="nil"/>
              <w:left w:val="nil"/>
              <w:right w:val="single" w:color="auto" w:sz="4" w:space="0"/>
            </w:tcBorders>
            <w:noWrap w:val="0"/>
            <w:vAlign w:val="center"/>
          </w:tcPr>
          <w:p w14:paraId="6B168D99">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巴厘岛旁主通道</w:t>
            </w:r>
          </w:p>
        </w:tc>
        <w:tc>
          <w:tcPr>
            <w:tcW w:w="2550" w:type="dxa"/>
            <w:tcBorders>
              <w:top w:val="nil"/>
              <w:left w:val="nil"/>
              <w:bottom w:val="single" w:color="auto" w:sz="4" w:space="0"/>
              <w:right w:val="single" w:color="auto" w:sz="4" w:space="0"/>
            </w:tcBorders>
            <w:noWrap w:val="0"/>
            <w:vAlign w:val="center"/>
          </w:tcPr>
          <w:p w14:paraId="3FF99B41">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名称：三星堆神鸟灯笼</w:t>
            </w:r>
          </w:p>
          <w:p w14:paraId="5A6D790F">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60cm/5W</w:t>
            </w:r>
          </w:p>
          <w:p w14:paraId="4D207236">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数量：160只</w:t>
            </w:r>
          </w:p>
        </w:tc>
        <w:tc>
          <w:tcPr>
            <w:tcW w:w="4688" w:type="dxa"/>
            <w:vMerge w:val="restart"/>
            <w:tcBorders>
              <w:top w:val="nil"/>
              <w:left w:val="nil"/>
              <w:right w:val="single" w:color="auto" w:sz="4" w:space="0"/>
            </w:tcBorders>
            <w:noWrap w:val="0"/>
            <w:vAlign w:val="center"/>
          </w:tcPr>
          <w:p w14:paraId="0B6F108F">
            <w:pPr>
              <w:snapToGrid w:val="0"/>
              <w:spacing w:line="240" w:lineRule="auto"/>
              <w:rPr>
                <w:rFonts w:hint="eastAsia" w:ascii="方正仿宋简体" w:hAnsi="方正仿宋简体" w:eastAsia="方正仿宋简体" w:cs="方正仿宋简体"/>
                <w:b w:val="0"/>
                <w:bCs/>
                <w:color w:val="auto"/>
                <w:sz w:val="24"/>
                <w:szCs w:val="24"/>
                <w:highlight w:val="none"/>
              </w:rPr>
            </w:pPr>
            <w:r>
              <w:rPr>
                <w:rFonts w:hint="eastAsia" w:ascii="方正仿宋简体" w:hAnsi="方正仿宋简体" w:eastAsia="方正仿宋简体" w:cs="方正仿宋简体"/>
                <w:b w:val="0"/>
                <w:bCs/>
                <w:color w:val="auto"/>
                <w:sz w:val="24"/>
                <w:szCs w:val="24"/>
                <w:highlight w:val="none"/>
                <w:lang w:val="en-US" w:eastAsia="zh-CN"/>
              </w:rPr>
              <w:t>36颗树点缀满天星进行枝干造型，并均匀分布三星堆神鸟灯笼、三星堆脸谱灯笼、红灯笼三种灯笼点缀，寓意金蛇迎春；包含辅材辅料及电线电缆；包含后期巡视维护等服务。</w:t>
            </w:r>
          </w:p>
        </w:tc>
      </w:tr>
      <w:tr w14:paraId="6F5331FB">
        <w:tblPrEx>
          <w:tblCellMar>
            <w:top w:w="0" w:type="dxa"/>
            <w:left w:w="108" w:type="dxa"/>
            <w:bottom w:w="0" w:type="dxa"/>
            <w:right w:w="108" w:type="dxa"/>
          </w:tblCellMar>
        </w:tblPrEx>
        <w:trPr>
          <w:trHeight w:val="466"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0E99ED01">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bottom w:val="single" w:color="auto" w:sz="4" w:space="0"/>
              <w:right w:val="single" w:color="auto" w:sz="4" w:space="0"/>
            </w:tcBorders>
            <w:noWrap w:val="0"/>
            <w:vAlign w:val="center"/>
          </w:tcPr>
          <w:p w14:paraId="1E6AEE01">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nil"/>
              <w:left w:val="nil"/>
              <w:bottom w:val="single" w:color="auto" w:sz="4" w:space="0"/>
              <w:right w:val="single" w:color="auto" w:sz="4" w:space="0"/>
            </w:tcBorders>
            <w:noWrap w:val="0"/>
            <w:vAlign w:val="center"/>
          </w:tcPr>
          <w:p w14:paraId="48EDD75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名称：满天星</w:t>
            </w:r>
          </w:p>
          <w:p w14:paraId="32797570">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规格：8W/串/12珠</w:t>
            </w:r>
          </w:p>
          <w:p w14:paraId="1D5632EE">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数量：3000串</w:t>
            </w:r>
          </w:p>
        </w:tc>
        <w:tc>
          <w:tcPr>
            <w:tcW w:w="4688" w:type="dxa"/>
            <w:vMerge w:val="continue"/>
            <w:tcBorders>
              <w:left w:val="nil"/>
              <w:bottom w:val="single" w:color="auto" w:sz="4" w:space="0"/>
              <w:right w:val="single" w:color="auto" w:sz="4" w:space="0"/>
            </w:tcBorders>
            <w:noWrap w:val="0"/>
            <w:vAlign w:val="center"/>
          </w:tcPr>
          <w:p w14:paraId="7203E122">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1884B5C4">
        <w:tblPrEx>
          <w:tblCellMar>
            <w:top w:w="0" w:type="dxa"/>
            <w:left w:w="108" w:type="dxa"/>
            <w:bottom w:w="0" w:type="dxa"/>
            <w:right w:w="108" w:type="dxa"/>
          </w:tblCellMar>
        </w:tblPrEx>
        <w:trPr>
          <w:trHeight w:val="622" w:hRule="atLeast"/>
          <w:jc w:val="center"/>
        </w:trPr>
        <w:tc>
          <w:tcPr>
            <w:tcW w:w="734" w:type="dxa"/>
            <w:vMerge w:val="restart"/>
            <w:tcBorders>
              <w:top w:val="nil"/>
              <w:left w:val="single" w:color="auto" w:sz="4" w:space="0"/>
              <w:right w:val="single" w:color="auto" w:sz="4" w:space="0"/>
            </w:tcBorders>
            <w:noWrap w:val="0"/>
            <w:vAlign w:val="center"/>
          </w:tcPr>
          <w:p w14:paraId="5EA5313F">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5</w:t>
            </w:r>
          </w:p>
        </w:tc>
        <w:tc>
          <w:tcPr>
            <w:tcW w:w="1336" w:type="dxa"/>
            <w:vMerge w:val="restart"/>
            <w:tcBorders>
              <w:top w:val="nil"/>
              <w:left w:val="nil"/>
              <w:right w:val="single" w:color="auto" w:sz="4" w:space="0"/>
            </w:tcBorders>
            <w:noWrap w:val="0"/>
            <w:vAlign w:val="center"/>
          </w:tcPr>
          <w:p w14:paraId="487FB63A">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草坪三棵大树</w:t>
            </w:r>
          </w:p>
        </w:tc>
        <w:tc>
          <w:tcPr>
            <w:tcW w:w="2550" w:type="dxa"/>
            <w:tcBorders>
              <w:top w:val="nil"/>
              <w:left w:val="nil"/>
              <w:bottom w:val="single" w:color="auto" w:sz="4" w:space="0"/>
              <w:right w:val="single" w:color="auto" w:sz="4" w:space="0"/>
            </w:tcBorders>
            <w:shd w:val="clear" w:color="auto" w:fill="auto"/>
            <w:noWrap w:val="0"/>
            <w:vAlign w:val="center"/>
          </w:tcPr>
          <w:p w14:paraId="64F8C1C7">
            <w:pPr>
              <w:snapToGrid w:val="0"/>
              <w:spacing w:line="240" w:lineRule="auto"/>
              <w:jc w:val="left"/>
              <w:rPr>
                <w:rFonts w:hint="eastAsia" w:ascii="方正仿宋简体" w:hAnsi="方正仿宋简体" w:eastAsia="方正仿宋简体" w:cs="方正仿宋简体"/>
                <w:b w:val="0"/>
                <w:bCs/>
                <w:color w:val="auto"/>
                <w:sz w:val="21"/>
                <w:szCs w:val="21"/>
                <w:highlight w:val="none"/>
              </w:rPr>
            </w:pPr>
            <w:r>
              <w:rPr>
                <w:rFonts w:hint="eastAsia" w:ascii="方正仿宋简体" w:hAnsi="方正仿宋简体" w:eastAsia="方正仿宋简体" w:cs="方正仿宋简体"/>
                <w:b w:val="0"/>
                <w:bCs/>
                <w:color w:val="auto"/>
                <w:sz w:val="21"/>
                <w:szCs w:val="21"/>
                <w:highlight w:val="none"/>
                <w:lang w:val="en-US" w:eastAsia="zh-CN"/>
              </w:rPr>
              <w:t>名称：蝴蝶灯</w:t>
            </w:r>
            <w:r>
              <w:rPr>
                <w:rFonts w:hint="eastAsia" w:ascii="方正仿宋简体" w:hAnsi="方正仿宋简体" w:eastAsia="方正仿宋简体" w:cs="方正仿宋简体"/>
                <w:b w:val="0"/>
                <w:bCs/>
                <w:color w:val="auto"/>
                <w:sz w:val="21"/>
                <w:szCs w:val="21"/>
                <w:highlight w:val="none"/>
              </w:rPr>
              <w:t xml:space="preserve"> </w:t>
            </w:r>
          </w:p>
          <w:p w14:paraId="297004F2">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规格：30cm/10W</w:t>
            </w:r>
          </w:p>
          <w:p w14:paraId="08921AC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数量：90只</w:t>
            </w:r>
          </w:p>
        </w:tc>
        <w:tc>
          <w:tcPr>
            <w:tcW w:w="4688" w:type="dxa"/>
            <w:vMerge w:val="restart"/>
            <w:tcBorders>
              <w:top w:val="nil"/>
              <w:left w:val="nil"/>
              <w:right w:val="single" w:color="auto" w:sz="4" w:space="0"/>
            </w:tcBorders>
            <w:noWrap w:val="0"/>
            <w:vAlign w:val="center"/>
          </w:tcPr>
          <w:p w14:paraId="3EDE636E">
            <w:pPr>
              <w:snapToGrid w:val="0"/>
              <w:spacing w:line="240" w:lineRule="auto"/>
              <w:rPr>
                <w:rFonts w:hint="eastAsia" w:ascii="方正仿宋简体" w:hAnsi="方正仿宋简体" w:eastAsia="方正仿宋简体" w:cs="方正仿宋简体"/>
                <w:b w:val="0"/>
                <w:bCs/>
                <w:color w:val="auto"/>
                <w:sz w:val="24"/>
                <w:szCs w:val="24"/>
                <w:highlight w:val="none"/>
                <w:lang w:eastAsia="zh-CN"/>
              </w:rPr>
            </w:pPr>
            <w:r>
              <w:rPr>
                <w:rFonts w:hint="eastAsia" w:ascii="方正仿宋简体" w:hAnsi="方正仿宋简体" w:eastAsia="方正仿宋简体" w:cs="方正仿宋简体"/>
                <w:b w:val="0"/>
                <w:bCs/>
                <w:color w:val="auto"/>
                <w:sz w:val="24"/>
                <w:szCs w:val="24"/>
                <w:highlight w:val="none"/>
                <w:lang w:val="en-US" w:eastAsia="zh-CN"/>
              </w:rPr>
              <w:t>3颗树用动态蝴蝶灯、烟花灯和水母灯搭配，加上动态底色，呈现一种动态生机勃勃的春节氛围；包含辅材辅料及电线电缆；包含后期巡视维护等服务。</w:t>
            </w:r>
          </w:p>
        </w:tc>
      </w:tr>
      <w:tr w14:paraId="7CD7BE25">
        <w:tblPrEx>
          <w:tblCellMar>
            <w:top w:w="0" w:type="dxa"/>
            <w:left w:w="108" w:type="dxa"/>
            <w:bottom w:w="0" w:type="dxa"/>
            <w:right w:w="108" w:type="dxa"/>
          </w:tblCellMar>
        </w:tblPrEx>
        <w:trPr>
          <w:trHeight w:val="413"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452E9859">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bottom w:val="single" w:color="auto" w:sz="4" w:space="0"/>
              <w:right w:val="single" w:color="auto" w:sz="4" w:space="0"/>
            </w:tcBorders>
            <w:noWrap w:val="0"/>
            <w:vAlign w:val="center"/>
          </w:tcPr>
          <w:p w14:paraId="3DE6A584">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nil"/>
              <w:left w:val="nil"/>
              <w:bottom w:val="single" w:color="auto" w:sz="4" w:space="0"/>
              <w:right w:val="single" w:color="auto" w:sz="4" w:space="0"/>
            </w:tcBorders>
            <w:shd w:val="clear" w:color="auto" w:fill="auto"/>
            <w:noWrap w:val="0"/>
            <w:vAlign w:val="center"/>
          </w:tcPr>
          <w:p w14:paraId="04424217">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名称：烟花灯</w:t>
            </w:r>
          </w:p>
          <w:p w14:paraId="46122FB7">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规格：30cm/5W</w:t>
            </w:r>
          </w:p>
          <w:p w14:paraId="39D26D3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数量：30只</w:t>
            </w:r>
          </w:p>
        </w:tc>
        <w:tc>
          <w:tcPr>
            <w:tcW w:w="4688" w:type="dxa"/>
            <w:vMerge w:val="continue"/>
            <w:tcBorders>
              <w:left w:val="nil"/>
              <w:bottom w:val="single" w:color="auto" w:sz="4" w:space="0"/>
              <w:right w:val="single" w:color="auto" w:sz="4" w:space="0"/>
            </w:tcBorders>
            <w:noWrap w:val="0"/>
            <w:vAlign w:val="center"/>
          </w:tcPr>
          <w:p w14:paraId="495443F7">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58A611FB">
        <w:tblPrEx>
          <w:tblCellMar>
            <w:top w:w="0" w:type="dxa"/>
            <w:left w:w="108" w:type="dxa"/>
            <w:bottom w:w="0" w:type="dxa"/>
            <w:right w:w="108" w:type="dxa"/>
          </w:tblCellMar>
        </w:tblPrEx>
        <w:trPr>
          <w:trHeight w:val="413"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495E213D">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bottom w:val="single" w:color="auto" w:sz="4" w:space="0"/>
              <w:right w:val="single" w:color="auto" w:sz="4" w:space="0"/>
            </w:tcBorders>
            <w:noWrap w:val="0"/>
            <w:vAlign w:val="center"/>
          </w:tcPr>
          <w:p w14:paraId="3E83D0E6">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nil"/>
              <w:left w:val="nil"/>
              <w:bottom w:val="single" w:color="auto" w:sz="4" w:space="0"/>
              <w:right w:val="single" w:color="auto" w:sz="4" w:space="0"/>
            </w:tcBorders>
            <w:shd w:val="clear" w:color="auto" w:fill="auto"/>
            <w:noWrap w:val="0"/>
            <w:vAlign w:val="center"/>
          </w:tcPr>
          <w:p w14:paraId="5DA526EB">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名称：水母灯</w:t>
            </w:r>
          </w:p>
          <w:p w14:paraId="6741CB4B">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规格：20cm/5W</w:t>
            </w:r>
          </w:p>
          <w:p w14:paraId="4DC3FCE6">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数量：60只</w:t>
            </w:r>
          </w:p>
        </w:tc>
        <w:tc>
          <w:tcPr>
            <w:tcW w:w="4688" w:type="dxa"/>
            <w:vMerge w:val="continue"/>
            <w:tcBorders>
              <w:left w:val="nil"/>
              <w:bottom w:val="single" w:color="auto" w:sz="4" w:space="0"/>
              <w:right w:val="single" w:color="auto" w:sz="4" w:space="0"/>
            </w:tcBorders>
            <w:noWrap w:val="0"/>
            <w:vAlign w:val="center"/>
          </w:tcPr>
          <w:p w14:paraId="0C3B1F9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p>
        </w:tc>
      </w:tr>
      <w:tr w14:paraId="0027D5FA">
        <w:tblPrEx>
          <w:tblCellMar>
            <w:top w:w="0" w:type="dxa"/>
            <w:left w:w="108" w:type="dxa"/>
            <w:bottom w:w="0" w:type="dxa"/>
            <w:right w:w="108" w:type="dxa"/>
          </w:tblCellMar>
        </w:tblPrEx>
        <w:trPr>
          <w:trHeight w:val="466" w:hRule="atLeast"/>
          <w:jc w:val="center"/>
        </w:trPr>
        <w:tc>
          <w:tcPr>
            <w:tcW w:w="734" w:type="dxa"/>
            <w:vMerge w:val="restart"/>
            <w:tcBorders>
              <w:top w:val="nil"/>
              <w:left w:val="single" w:color="auto" w:sz="4" w:space="0"/>
              <w:right w:val="single" w:color="auto" w:sz="4" w:space="0"/>
            </w:tcBorders>
            <w:noWrap w:val="0"/>
            <w:vAlign w:val="center"/>
          </w:tcPr>
          <w:p w14:paraId="2CBB9707">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6</w:t>
            </w:r>
          </w:p>
        </w:tc>
        <w:tc>
          <w:tcPr>
            <w:tcW w:w="1336" w:type="dxa"/>
            <w:vMerge w:val="restart"/>
            <w:tcBorders>
              <w:top w:val="nil"/>
              <w:left w:val="nil"/>
              <w:right w:val="single" w:color="auto" w:sz="4" w:space="0"/>
            </w:tcBorders>
            <w:noWrap w:val="0"/>
            <w:vAlign w:val="center"/>
          </w:tcPr>
          <w:p w14:paraId="5B9A6FA5">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东大门入口</w:t>
            </w:r>
          </w:p>
        </w:tc>
        <w:tc>
          <w:tcPr>
            <w:tcW w:w="2550" w:type="dxa"/>
            <w:tcBorders>
              <w:top w:val="nil"/>
              <w:left w:val="nil"/>
              <w:bottom w:val="single" w:color="auto" w:sz="4" w:space="0"/>
              <w:right w:val="single" w:color="auto" w:sz="4" w:space="0"/>
            </w:tcBorders>
            <w:noWrap w:val="0"/>
            <w:vAlign w:val="center"/>
          </w:tcPr>
          <w:p w14:paraId="0DBB103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名称：动物灯</w:t>
            </w:r>
          </w:p>
          <w:p w14:paraId="0FE4DC8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w:t>
            </w:r>
            <w:r>
              <w:rPr>
                <w:rFonts w:hint="eastAsia" w:ascii="方正仿宋简体" w:hAnsi="方正仿宋简体" w:eastAsia="方正仿宋简体" w:cs="方正仿宋简体"/>
                <w:b w:val="0"/>
                <w:bCs/>
                <w:color w:val="auto"/>
                <w:sz w:val="21"/>
                <w:szCs w:val="21"/>
                <w:highlight w:val="none"/>
                <w:lang w:eastAsia="zh-CN"/>
              </w:rPr>
              <w:t>（</w:t>
            </w:r>
            <w:r>
              <w:rPr>
                <w:rFonts w:hint="eastAsia" w:ascii="方正仿宋简体" w:hAnsi="方正仿宋简体" w:eastAsia="方正仿宋简体" w:cs="方正仿宋简体"/>
                <w:b w:val="0"/>
                <w:bCs/>
                <w:color w:val="auto"/>
                <w:sz w:val="21"/>
                <w:szCs w:val="21"/>
                <w:highlight w:val="none"/>
                <w:lang w:val="en-US" w:eastAsia="zh-CN"/>
              </w:rPr>
              <w:t>65</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25</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13</w:t>
            </w:r>
            <w:r>
              <w:rPr>
                <w:rFonts w:hint="eastAsia" w:ascii="方正仿宋简体" w:hAnsi="方正仿宋简体" w:eastAsia="方正仿宋简体" w:cs="方正仿宋简体"/>
                <w:b w:val="0"/>
                <w:bCs/>
                <w:color w:val="auto"/>
                <w:sz w:val="21"/>
                <w:szCs w:val="21"/>
                <w:highlight w:val="none"/>
                <w:lang w:val="en-US" w:eastAsia="zh-CN"/>
              </w:rPr>
              <w:t>0cm）</w:t>
            </w:r>
          </w:p>
          <w:p w14:paraId="2A8E50F4">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 xml:space="preserve">      (75</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170cm)</w:t>
            </w:r>
          </w:p>
          <w:p w14:paraId="505498EB">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 xml:space="preserve">      (130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45</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260cm）</w:t>
            </w:r>
          </w:p>
          <w:p w14:paraId="1C16086F">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数量：1组</w:t>
            </w:r>
          </w:p>
        </w:tc>
        <w:tc>
          <w:tcPr>
            <w:tcW w:w="4688" w:type="dxa"/>
            <w:vMerge w:val="restart"/>
            <w:tcBorders>
              <w:top w:val="nil"/>
              <w:left w:val="nil"/>
              <w:right w:val="single" w:color="auto" w:sz="4" w:space="0"/>
            </w:tcBorders>
            <w:noWrap w:val="0"/>
            <w:vAlign w:val="center"/>
          </w:tcPr>
          <w:p w14:paraId="153DB01C">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植被通过满天星色彩进行层次划分，点缀动物灯烘托氛围；包含辅材辅料及电线电缆；包含后期巡视维护等服务。</w:t>
            </w:r>
          </w:p>
        </w:tc>
      </w:tr>
      <w:tr w14:paraId="05EBA37C">
        <w:tblPrEx>
          <w:tblCellMar>
            <w:top w:w="0" w:type="dxa"/>
            <w:left w:w="108" w:type="dxa"/>
            <w:bottom w:w="0" w:type="dxa"/>
            <w:right w:w="108" w:type="dxa"/>
          </w:tblCellMar>
        </w:tblPrEx>
        <w:trPr>
          <w:trHeight w:val="466"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40059EE3">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bottom w:val="single" w:color="auto" w:sz="4" w:space="0"/>
              <w:right w:val="single" w:color="auto" w:sz="4" w:space="0"/>
            </w:tcBorders>
            <w:noWrap w:val="0"/>
            <w:vAlign w:val="center"/>
          </w:tcPr>
          <w:p w14:paraId="3C696AC4">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nil"/>
              <w:left w:val="nil"/>
              <w:bottom w:val="single" w:color="auto" w:sz="4" w:space="0"/>
              <w:right w:val="single" w:color="auto" w:sz="4" w:space="0"/>
            </w:tcBorders>
            <w:noWrap w:val="0"/>
            <w:vAlign w:val="center"/>
          </w:tcPr>
          <w:p w14:paraId="2F3180E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名称：满天星</w:t>
            </w:r>
          </w:p>
          <w:p w14:paraId="3D90BDBC">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规格：8W/串/12珠</w:t>
            </w:r>
          </w:p>
          <w:p w14:paraId="3C5E925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数量：3000串</w:t>
            </w:r>
          </w:p>
        </w:tc>
        <w:tc>
          <w:tcPr>
            <w:tcW w:w="4688" w:type="dxa"/>
            <w:vMerge w:val="continue"/>
            <w:tcBorders>
              <w:left w:val="nil"/>
              <w:bottom w:val="single" w:color="auto" w:sz="4" w:space="0"/>
              <w:right w:val="single" w:color="auto" w:sz="4" w:space="0"/>
            </w:tcBorders>
            <w:noWrap w:val="0"/>
            <w:vAlign w:val="center"/>
          </w:tcPr>
          <w:p w14:paraId="33AEDE9C">
            <w:pPr>
              <w:snapToGrid w:val="0"/>
              <w:spacing w:line="240" w:lineRule="auto"/>
              <w:jc w:val="left"/>
              <w:rPr>
                <w:rFonts w:hint="eastAsia" w:ascii="方正仿宋简体" w:hAnsi="方正仿宋简体" w:eastAsia="方正仿宋简体" w:cs="方正仿宋简体"/>
                <w:b w:val="0"/>
                <w:bCs/>
                <w:color w:val="auto"/>
                <w:sz w:val="24"/>
                <w:szCs w:val="24"/>
                <w:highlight w:val="none"/>
                <w:lang w:val="en-US" w:eastAsia="zh-CN"/>
              </w:rPr>
            </w:pPr>
          </w:p>
        </w:tc>
      </w:tr>
      <w:tr w14:paraId="09130803">
        <w:tblPrEx>
          <w:tblCellMar>
            <w:top w:w="0" w:type="dxa"/>
            <w:left w:w="108" w:type="dxa"/>
            <w:bottom w:w="0" w:type="dxa"/>
            <w:right w:w="108" w:type="dxa"/>
          </w:tblCellMar>
        </w:tblPrEx>
        <w:trPr>
          <w:trHeight w:val="617" w:hRule="atLeast"/>
          <w:jc w:val="center"/>
        </w:trPr>
        <w:tc>
          <w:tcPr>
            <w:tcW w:w="734" w:type="dxa"/>
            <w:vMerge w:val="restart"/>
            <w:tcBorders>
              <w:top w:val="single" w:color="auto" w:sz="4" w:space="0"/>
              <w:left w:val="single" w:color="auto" w:sz="4" w:space="0"/>
              <w:right w:val="single" w:color="auto" w:sz="4" w:space="0"/>
            </w:tcBorders>
            <w:noWrap w:val="0"/>
            <w:vAlign w:val="center"/>
          </w:tcPr>
          <w:p w14:paraId="5A4752C0">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7</w:t>
            </w:r>
          </w:p>
        </w:tc>
        <w:tc>
          <w:tcPr>
            <w:tcW w:w="1336" w:type="dxa"/>
            <w:vMerge w:val="restart"/>
            <w:tcBorders>
              <w:top w:val="single" w:color="auto" w:sz="4" w:space="0"/>
              <w:left w:val="nil"/>
              <w:right w:val="single" w:color="auto" w:sz="4" w:space="0"/>
            </w:tcBorders>
            <w:noWrap w:val="0"/>
            <w:vAlign w:val="center"/>
          </w:tcPr>
          <w:p w14:paraId="16BAAFDE">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河堤通道</w:t>
            </w:r>
          </w:p>
        </w:tc>
        <w:tc>
          <w:tcPr>
            <w:tcW w:w="2550" w:type="dxa"/>
            <w:tcBorders>
              <w:top w:val="single" w:color="auto" w:sz="4" w:space="0"/>
              <w:left w:val="nil"/>
              <w:bottom w:val="single" w:color="auto" w:sz="4" w:space="0"/>
              <w:right w:val="single" w:color="auto" w:sz="4" w:space="0"/>
            </w:tcBorders>
            <w:noWrap w:val="0"/>
            <w:vAlign w:val="center"/>
          </w:tcPr>
          <w:p w14:paraId="0A01A133">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名称：大唐芙蓉灯笼</w:t>
            </w:r>
          </w:p>
          <w:p w14:paraId="2A683C8B">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规格：直径40cm/5W</w:t>
            </w:r>
          </w:p>
          <w:p w14:paraId="4545090E">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数量：1200只</w:t>
            </w:r>
          </w:p>
        </w:tc>
        <w:tc>
          <w:tcPr>
            <w:tcW w:w="4688" w:type="dxa"/>
            <w:vMerge w:val="restart"/>
            <w:tcBorders>
              <w:top w:val="single" w:color="auto" w:sz="4" w:space="0"/>
              <w:left w:val="nil"/>
              <w:right w:val="single" w:color="auto" w:sz="4" w:space="0"/>
            </w:tcBorders>
            <w:noWrap w:val="0"/>
            <w:vAlign w:val="center"/>
          </w:tcPr>
          <w:p w14:paraId="1ED242EE">
            <w:pPr>
              <w:snapToGrid w:val="0"/>
              <w:spacing w:line="240" w:lineRule="auto"/>
              <w:rPr>
                <w:rFonts w:hint="eastAsia" w:ascii="方正仿宋简体" w:hAnsi="方正仿宋简体" w:eastAsia="方正仿宋简体" w:cs="方正仿宋简体"/>
                <w:b w:val="0"/>
                <w:bCs/>
                <w:color w:val="auto"/>
                <w:sz w:val="24"/>
                <w:szCs w:val="24"/>
                <w:highlight w:val="none"/>
              </w:rPr>
            </w:pPr>
            <w:r>
              <w:rPr>
                <w:rFonts w:hint="eastAsia" w:ascii="方正仿宋简体" w:hAnsi="方正仿宋简体" w:eastAsia="方正仿宋简体" w:cs="方正仿宋简体"/>
                <w:b w:val="0"/>
                <w:bCs/>
                <w:color w:val="auto"/>
                <w:sz w:val="24"/>
                <w:szCs w:val="24"/>
                <w:highlight w:val="none"/>
                <w:lang w:val="en-US" w:eastAsia="zh-CN"/>
              </w:rPr>
              <w:t>结合120颗树木特点，通过灯带的流畅型与大唐芙蓉灯笼及爆闪灯相结合打造网红气质和震撼感；包含辅材辅料及电线电缆；包含后期巡视维护等服务。</w:t>
            </w:r>
          </w:p>
        </w:tc>
      </w:tr>
      <w:tr w14:paraId="3DA5CEB7">
        <w:tblPrEx>
          <w:tblCellMar>
            <w:top w:w="0" w:type="dxa"/>
            <w:left w:w="108" w:type="dxa"/>
            <w:bottom w:w="0" w:type="dxa"/>
            <w:right w:w="108" w:type="dxa"/>
          </w:tblCellMar>
        </w:tblPrEx>
        <w:trPr>
          <w:trHeight w:val="617" w:hRule="atLeast"/>
          <w:jc w:val="center"/>
        </w:trPr>
        <w:tc>
          <w:tcPr>
            <w:tcW w:w="734" w:type="dxa"/>
            <w:vMerge w:val="continue"/>
            <w:tcBorders>
              <w:left w:val="single" w:color="auto" w:sz="4" w:space="0"/>
              <w:bottom w:val="single" w:color="auto" w:sz="4" w:space="0"/>
              <w:right w:val="single" w:color="auto" w:sz="4" w:space="0"/>
            </w:tcBorders>
            <w:noWrap w:val="0"/>
            <w:vAlign w:val="center"/>
          </w:tcPr>
          <w:p w14:paraId="633F1146">
            <w:pPr>
              <w:snapToGrid w:val="0"/>
              <w:spacing w:line="240" w:lineRule="auto"/>
              <w:jc w:val="left"/>
              <w:rPr>
                <w:rFonts w:hint="eastAsia" w:ascii="方正仿宋简体" w:hAnsi="方正仿宋简体" w:eastAsia="方正仿宋简体" w:cs="方正仿宋简体"/>
                <w:b w:val="0"/>
                <w:bCs/>
                <w:color w:val="auto"/>
              </w:rPr>
            </w:pPr>
          </w:p>
        </w:tc>
        <w:tc>
          <w:tcPr>
            <w:tcW w:w="1336" w:type="dxa"/>
            <w:vMerge w:val="continue"/>
            <w:tcBorders>
              <w:left w:val="nil"/>
              <w:bottom w:val="single" w:color="auto" w:sz="4" w:space="0"/>
              <w:right w:val="single" w:color="auto" w:sz="4" w:space="0"/>
            </w:tcBorders>
            <w:noWrap w:val="0"/>
            <w:vAlign w:val="center"/>
          </w:tcPr>
          <w:p w14:paraId="3EBEB7F9">
            <w:pPr>
              <w:snapToGrid w:val="0"/>
              <w:spacing w:line="240" w:lineRule="auto"/>
              <w:jc w:val="left"/>
              <w:rPr>
                <w:rFonts w:hint="eastAsia" w:ascii="方正仿宋简体" w:hAnsi="方正仿宋简体" w:eastAsia="方正仿宋简体" w:cs="方正仿宋简体"/>
                <w:b w:val="0"/>
                <w:bCs/>
                <w:color w:val="auto"/>
              </w:rPr>
            </w:pPr>
          </w:p>
        </w:tc>
        <w:tc>
          <w:tcPr>
            <w:tcW w:w="2550" w:type="dxa"/>
            <w:tcBorders>
              <w:top w:val="single" w:color="auto" w:sz="4" w:space="0"/>
              <w:left w:val="nil"/>
              <w:bottom w:val="single" w:color="auto" w:sz="4" w:space="0"/>
              <w:right w:val="single" w:color="auto" w:sz="4" w:space="0"/>
            </w:tcBorders>
            <w:noWrap w:val="0"/>
            <w:vAlign w:val="center"/>
          </w:tcPr>
          <w:p w14:paraId="56F4C789">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名称：柔性灯带</w:t>
            </w:r>
          </w:p>
          <w:p w14:paraId="64820649">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规格：8W/米/暖白</w:t>
            </w:r>
          </w:p>
          <w:p w14:paraId="6AAC123D">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数量：2000米</w:t>
            </w:r>
          </w:p>
        </w:tc>
        <w:tc>
          <w:tcPr>
            <w:tcW w:w="4688" w:type="dxa"/>
            <w:vMerge w:val="continue"/>
            <w:tcBorders>
              <w:left w:val="nil"/>
              <w:bottom w:val="single" w:color="auto" w:sz="4" w:space="0"/>
              <w:right w:val="single" w:color="auto" w:sz="4" w:space="0"/>
            </w:tcBorders>
            <w:noWrap w:val="0"/>
            <w:vAlign w:val="center"/>
          </w:tcPr>
          <w:p w14:paraId="6D5F2DEB">
            <w:pPr>
              <w:snapToGrid w:val="0"/>
              <w:spacing w:line="240" w:lineRule="auto"/>
              <w:jc w:val="left"/>
              <w:rPr>
                <w:rFonts w:hint="eastAsia" w:ascii="方正仿宋简体" w:hAnsi="方正仿宋简体" w:eastAsia="方正仿宋简体" w:cs="方正仿宋简体"/>
                <w:b w:val="0"/>
                <w:bCs/>
                <w:color w:val="auto"/>
                <w:sz w:val="24"/>
                <w:szCs w:val="24"/>
                <w:highlight w:val="none"/>
                <w:lang w:val="en-US" w:eastAsia="zh-CN"/>
              </w:rPr>
            </w:pPr>
          </w:p>
        </w:tc>
      </w:tr>
      <w:tr w14:paraId="5E34F1D4">
        <w:tblPrEx>
          <w:tblCellMar>
            <w:top w:w="0" w:type="dxa"/>
            <w:left w:w="108" w:type="dxa"/>
            <w:bottom w:w="0" w:type="dxa"/>
            <w:right w:w="108" w:type="dxa"/>
          </w:tblCellMar>
        </w:tblPrEx>
        <w:trPr>
          <w:trHeight w:val="604" w:hRule="atLeas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14:paraId="43AC9DBB">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8</w:t>
            </w:r>
          </w:p>
        </w:tc>
        <w:tc>
          <w:tcPr>
            <w:tcW w:w="1336" w:type="dxa"/>
            <w:tcBorders>
              <w:top w:val="single" w:color="auto" w:sz="4" w:space="0"/>
              <w:left w:val="nil"/>
              <w:bottom w:val="single" w:color="auto" w:sz="4" w:space="0"/>
              <w:right w:val="single" w:color="auto" w:sz="4" w:space="0"/>
            </w:tcBorders>
            <w:noWrap w:val="0"/>
            <w:vAlign w:val="center"/>
          </w:tcPr>
          <w:p w14:paraId="58AA02D5">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金雁宾馆</w:t>
            </w:r>
          </w:p>
        </w:tc>
        <w:tc>
          <w:tcPr>
            <w:tcW w:w="2550" w:type="dxa"/>
            <w:tcBorders>
              <w:top w:val="single" w:color="auto" w:sz="4" w:space="0"/>
              <w:left w:val="nil"/>
              <w:bottom w:val="single" w:color="auto" w:sz="4" w:space="0"/>
              <w:right w:val="single" w:color="auto" w:sz="4" w:space="0"/>
            </w:tcBorders>
            <w:noWrap w:val="0"/>
            <w:vAlign w:val="center"/>
          </w:tcPr>
          <w:p w14:paraId="38D9EB0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名称：三星堆神鸟灯笼</w:t>
            </w:r>
          </w:p>
          <w:p w14:paraId="4C09EDEA">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规格：40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30cm/5W</w:t>
            </w:r>
          </w:p>
          <w:p w14:paraId="7FCCD517">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数量：400只</w:t>
            </w:r>
          </w:p>
        </w:tc>
        <w:tc>
          <w:tcPr>
            <w:tcW w:w="4688" w:type="dxa"/>
            <w:tcBorders>
              <w:top w:val="single" w:color="auto" w:sz="4" w:space="0"/>
              <w:left w:val="nil"/>
              <w:bottom w:val="single" w:color="auto" w:sz="4" w:space="0"/>
              <w:right w:val="single" w:color="auto" w:sz="4" w:space="0"/>
            </w:tcBorders>
            <w:noWrap w:val="0"/>
            <w:vAlign w:val="center"/>
          </w:tcPr>
          <w:p w14:paraId="35154F58">
            <w:pPr>
              <w:snapToGrid w:val="0"/>
              <w:spacing w:line="240" w:lineRule="auto"/>
              <w:rPr>
                <w:rFonts w:hint="eastAsia" w:ascii="方正仿宋简体" w:hAnsi="方正仿宋简体" w:eastAsia="方正仿宋简体" w:cs="方正仿宋简体"/>
                <w:b w:val="0"/>
                <w:bCs/>
                <w:color w:val="auto"/>
                <w:sz w:val="24"/>
                <w:szCs w:val="24"/>
                <w:highlight w:val="none"/>
              </w:rPr>
            </w:pPr>
            <w:r>
              <w:rPr>
                <w:rFonts w:hint="eastAsia" w:ascii="方正仿宋简体" w:hAnsi="方正仿宋简体" w:eastAsia="方正仿宋简体" w:cs="方正仿宋简体"/>
                <w:b w:val="0"/>
                <w:bCs/>
                <w:color w:val="auto"/>
                <w:sz w:val="24"/>
                <w:szCs w:val="24"/>
                <w:highlight w:val="none"/>
                <w:lang w:val="en-US" w:eastAsia="zh-CN"/>
              </w:rPr>
              <w:t>三星堆神鸟灯笼、三星堆脸谱灯笼、红灯笼三种灯笼均匀分布于36颗树上，表达出活泼欢快的浓郁春节氛围；包含辅材辅料及电线电缆；包含后期巡视维护等服务。</w:t>
            </w:r>
          </w:p>
        </w:tc>
      </w:tr>
      <w:tr w14:paraId="6EF0E26C">
        <w:tblPrEx>
          <w:tblCellMar>
            <w:top w:w="0" w:type="dxa"/>
            <w:left w:w="108" w:type="dxa"/>
            <w:bottom w:w="0" w:type="dxa"/>
            <w:right w:w="108" w:type="dxa"/>
          </w:tblCellMar>
        </w:tblPrEx>
        <w:trPr>
          <w:trHeight w:val="915" w:hRule="atLeas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14:paraId="4CC6A939">
            <w:pPr>
              <w:snapToGrid w:val="0"/>
              <w:spacing w:line="440" w:lineRule="exact"/>
              <w:jc w:val="center"/>
              <w:rPr>
                <w:rFonts w:hint="eastAsia" w:ascii="方正仿宋简体" w:hAnsi="方正仿宋简体" w:eastAsia="方正仿宋简体" w:cs="方正仿宋简体"/>
                <w:b w:val="0"/>
                <w:bCs/>
                <w:color w:val="auto"/>
                <w:highlight w:val="none"/>
              </w:rPr>
            </w:pPr>
            <w:r>
              <w:rPr>
                <w:rFonts w:hint="eastAsia" w:ascii="方正仿宋简体" w:hAnsi="方正仿宋简体" w:eastAsia="方正仿宋简体" w:cs="方正仿宋简体"/>
                <w:b w:val="0"/>
                <w:bCs/>
                <w:color w:val="auto"/>
                <w:highlight w:val="none"/>
              </w:rPr>
              <w:t>9</w:t>
            </w:r>
          </w:p>
        </w:tc>
        <w:tc>
          <w:tcPr>
            <w:tcW w:w="1336" w:type="dxa"/>
            <w:tcBorders>
              <w:top w:val="single" w:color="auto" w:sz="4" w:space="0"/>
              <w:left w:val="nil"/>
              <w:bottom w:val="single" w:color="auto" w:sz="4" w:space="0"/>
              <w:right w:val="single" w:color="auto" w:sz="4" w:space="0"/>
            </w:tcBorders>
            <w:noWrap w:val="0"/>
            <w:vAlign w:val="center"/>
          </w:tcPr>
          <w:p w14:paraId="4F7D44BF">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荷花池</w:t>
            </w:r>
          </w:p>
        </w:tc>
        <w:tc>
          <w:tcPr>
            <w:tcW w:w="2550" w:type="dxa"/>
            <w:tcBorders>
              <w:top w:val="single" w:color="auto" w:sz="4" w:space="0"/>
              <w:left w:val="nil"/>
              <w:bottom w:val="single" w:color="auto" w:sz="4" w:space="0"/>
              <w:right w:val="single" w:color="auto" w:sz="4" w:space="0"/>
            </w:tcBorders>
            <w:noWrap w:val="0"/>
            <w:vAlign w:val="center"/>
          </w:tcPr>
          <w:p w14:paraId="6C073BDA">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名称：三星堆神鸟灯笼</w:t>
            </w:r>
          </w:p>
          <w:p w14:paraId="13CC035D">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highlight w:val="none"/>
                <w:lang w:val="en-US" w:eastAsia="zh-CN"/>
              </w:rPr>
              <w:t>60cm/5W</w:t>
            </w:r>
          </w:p>
          <w:p w14:paraId="2DF9EC62">
            <w:pPr>
              <w:snapToGrid w:val="0"/>
              <w:spacing w:line="240" w:lineRule="auto"/>
              <w:jc w:val="left"/>
              <w:rPr>
                <w:rFonts w:hint="eastAsia" w:ascii="方正仿宋简体" w:hAnsi="方正仿宋简体" w:eastAsia="方正仿宋简体" w:cs="方正仿宋简体"/>
                <w:b w:val="0"/>
                <w:bCs/>
                <w:color w:val="auto"/>
                <w:sz w:val="21"/>
                <w:szCs w:val="21"/>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数量：200只</w:t>
            </w:r>
          </w:p>
        </w:tc>
        <w:tc>
          <w:tcPr>
            <w:tcW w:w="4688" w:type="dxa"/>
            <w:tcBorders>
              <w:top w:val="single" w:color="auto" w:sz="4" w:space="0"/>
              <w:left w:val="nil"/>
              <w:bottom w:val="single" w:color="auto" w:sz="4" w:space="0"/>
              <w:right w:val="single" w:color="auto" w:sz="4" w:space="0"/>
            </w:tcBorders>
            <w:noWrap w:val="0"/>
            <w:vAlign w:val="center"/>
          </w:tcPr>
          <w:p w14:paraId="1F8B4302">
            <w:pPr>
              <w:snapToGrid w:val="0"/>
              <w:spacing w:line="240" w:lineRule="auto"/>
              <w:rPr>
                <w:rFonts w:hint="eastAsia" w:ascii="方正仿宋简体" w:hAnsi="方正仿宋简体" w:eastAsia="方正仿宋简体" w:cs="方正仿宋简体"/>
                <w:b w:val="0"/>
                <w:bCs/>
                <w:color w:val="auto"/>
                <w:sz w:val="24"/>
                <w:szCs w:val="24"/>
                <w:highlight w:val="none"/>
              </w:rPr>
            </w:pPr>
            <w:r>
              <w:rPr>
                <w:rFonts w:hint="eastAsia" w:ascii="方正仿宋简体" w:hAnsi="方正仿宋简体" w:eastAsia="方正仿宋简体" w:cs="方正仿宋简体"/>
                <w:b w:val="0"/>
                <w:bCs/>
                <w:color w:val="auto"/>
                <w:sz w:val="24"/>
                <w:szCs w:val="24"/>
                <w:highlight w:val="none"/>
                <w:lang w:val="en-US" w:eastAsia="zh-CN"/>
              </w:rPr>
              <w:t>树木高低错落悬挂三星堆神鸟灯笼、三星堆脸谱灯笼、红灯笼三种灯笼，均匀分布于16颗树上，，表达出喜庆热闹的春节气氛；包含辅材辅料及电线电缆；包含后期巡视维护等服务。</w:t>
            </w:r>
          </w:p>
        </w:tc>
      </w:tr>
      <w:tr w14:paraId="37FC5D08">
        <w:tblPrEx>
          <w:tblCellMar>
            <w:top w:w="0" w:type="dxa"/>
            <w:left w:w="108" w:type="dxa"/>
            <w:bottom w:w="0" w:type="dxa"/>
            <w:right w:w="108" w:type="dxa"/>
          </w:tblCellMar>
        </w:tblPrEx>
        <w:trPr>
          <w:trHeight w:val="915" w:hRule="atLeas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14:paraId="63F9D468">
            <w:pPr>
              <w:snapToGrid w:val="0"/>
              <w:spacing w:line="440" w:lineRule="exact"/>
              <w:jc w:val="center"/>
              <w:rPr>
                <w:rFonts w:hint="eastAsia" w:ascii="方正仿宋简体" w:hAnsi="方正仿宋简体" w:eastAsia="方正仿宋简体" w:cs="方正仿宋简体"/>
                <w:b w:val="0"/>
                <w:bCs/>
                <w:color w:val="auto"/>
                <w:highlight w:val="none"/>
                <w:lang w:val="en-US" w:eastAsia="zh-CN"/>
              </w:rPr>
            </w:pPr>
            <w:r>
              <w:rPr>
                <w:rFonts w:hint="eastAsia" w:ascii="方正仿宋简体" w:hAnsi="方正仿宋简体" w:eastAsia="方正仿宋简体" w:cs="方正仿宋简体"/>
                <w:b w:val="0"/>
                <w:bCs/>
                <w:color w:val="auto"/>
                <w:highlight w:val="none"/>
                <w:lang w:val="en-US" w:eastAsia="zh-CN"/>
              </w:rPr>
              <w:t>10</w:t>
            </w:r>
          </w:p>
        </w:tc>
        <w:tc>
          <w:tcPr>
            <w:tcW w:w="1336" w:type="dxa"/>
            <w:tcBorders>
              <w:top w:val="single" w:color="auto" w:sz="4" w:space="0"/>
              <w:left w:val="nil"/>
              <w:bottom w:val="single" w:color="auto" w:sz="4" w:space="0"/>
              <w:right w:val="single" w:color="auto" w:sz="4" w:space="0"/>
            </w:tcBorders>
            <w:noWrap w:val="0"/>
            <w:vAlign w:val="center"/>
          </w:tcPr>
          <w:p w14:paraId="03EA7201">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风车通道</w:t>
            </w:r>
          </w:p>
        </w:tc>
        <w:tc>
          <w:tcPr>
            <w:tcW w:w="2550" w:type="dxa"/>
            <w:tcBorders>
              <w:top w:val="single" w:color="auto" w:sz="4" w:space="0"/>
              <w:left w:val="nil"/>
              <w:bottom w:val="single" w:color="auto" w:sz="4" w:space="0"/>
              <w:right w:val="single" w:color="auto" w:sz="4" w:space="0"/>
            </w:tcBorders>
            <w:noWrap w:val="0"/>
            <w:vAlign w:val="center"/>
          </w:tcPr>
          <w:p w14:paraId="44E1CD4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名称：文创灯笼</w:t>
            </w:r>
          </w:p>
          <w:p w14:paraId="19ABC891">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5</w:t>
            </w:r>
            <w:r>
              <w:rPr>
                <w:rFonts w:hint="eastAsia" w:ascii="方正仿宋简体" w:hAnsi="方正仿宋简体" w:eastAsia="方正仿宋简体" w:cs="方正仿宋简体"/>
                <w:b w:val="0"/>
                <w:bCs/>
                <w:color w:val="auto"/>
                <w:sz w:val="21"/>
                <w:szCs w:val="21"/>
                <w:highlight w:val="none"/>
                <w:lang w:val="en-US" w:eastAsia="zh-CN"/>
              </w:rPr>
              <w:t>0cm/5W</w:t>
            </w:r>
          </w:p>
          <w:p w14:paraId="25794A66">
            <w:pPr>
              <w:snapToGrid w:val="0"/>
              <w:spacing w:line="240" w:lineRule="auto"/>
              <w:jc w:val="left"/>
              <w:rPr>
                <w:rFonts w:hint="eastAsia" w:ascii="方正仿宋简体" w:hAnsi="方正仿宋简体" w:eastAsia="方正仿宋简体" w:cs="方正仿宋简体"/>
                <w:b w:val="0"/>
                <w:bCs/>
                <w:color w:val="auto"/>
                <w:sz w:val="21"/>
                <w:szCs w:val="21"/>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数量：300只</w:t>
            </w:r>
          </w:p>
        </w:tc>
        <w:tc>
          <w:tcPr>
            <w:tcW w:w="4688" w:type="dxa"/>
            <w:tcBorders>
              <w:top w:val="single" w:color="auto" w:sz="4" w:space="0"/>
              <w:left w:val="nil"/>
              <w:bottom w:val="single" w:color="auto" w:sz="4" w:space="0"/>
              <w:right w:val="single" w:color="auto" w:sz="4" w:space="0"/>
            </w:tcBorders>
            <w:noWrap w:val="0"/>
            <w:vAlign w:val="center"/>
          </w:tcPr>
          <w:p w14:paraId="740C3C05">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设置灯笼阵，采用原创文化灯笼进项造型，寓意金蛇迎春；包含辅材辅料及电线电缆；包含后期巡视维护等服务。</w:t>
            </w:r>
          </w:p>
        </w:tc>
      </w:tr>
      <w:tr w14:paraId="216E6B0B">
        <w:tblPrEx>
          <w:tblCellMar>
            <w:top w:w="0" w:type="dxa"/>
            <w:left w:w="108" w:type="dxa"/>
            <w:bottom w:w="0" w:type="dxa"/>
            <w:right w:w="108" w:type="dxa"/>
          </w:tblCellMar>
        </w:tblPrEx>
        <w:trPr>
          <w:trHeight w:val="1017" w:hRule="atLeas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14:paraId="017A7400">
            <w:pPr>
              <w:snapToGrid w:val="0"/>
              <w:spacing w:line="440" w:lineRule="exact"/>
              <w:jc w:val="center"/>
              <w:rPr>
                <w:rFonts w:hint="eastAsia" w:ascii="方正仿宋简体" w:hAnsi="方正仿宋简体" w:eastAsia="方正仿宋简体" w:cs="方正仿宋简体"/>
                <w:b w:val="0"/>
                <w:bCs/>
                <w:color w:val="auto"/>
                <w:highlight w:val="none"/>
                <w:lang w:val="en-US" w:eastAsia="zh-CN"/>
              </w:rPr>
            </w:pPr>
            <w:r>
              <w:rPr>
                <w:rFonts w:hint="eastAsia" w:ascii="方正仿宋简体" w:hAnsi="方正仿宋简体" w:eastAsia="方正仿宋简体" w:cs="方正仿宋简体"/>
                <w:b w:val="0"/>
                <w:bCs/>
                <w:color w:val="auto"/>
                <w:highlight w:val="none"/>
                <w:lang w:val="en-US" w:eastAsia="zh-CN"/>
              </w:rPr>
              <w:t>11</w:t>
            </w:r>
          </w:p>
        </w:tc>
        <w:tc>
          <w:tcPr>
            <w:tcW w:w="1336" w:type="dxa"/>
            <w:tcBorders>
              <w:top w:val="single" w:color="auto" w:sz="4" w:space="0"/>
              <w:left w:val="nil"/>
              <w:bottom w:val="single" w:color="auto" w:sz="4" w:space="0"/>
              <w:right w:val="single" w:color="auto" w:sz="4" w:space="0"/>
            </w:tcBorders>
            <w:noWrap w:val="0"/>
            <w:vAlign w:val="center"/>
          </w:tcPr>
          <w:p w14:paraId="3022F2A3">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风车绿化带</w:t>
            </w:r>
          </w:p>
        </w:tc>
        <w:tc>
          <w:tcPr>
            <w:tcW w:w="2550" w:type="dxa"/>
            <w:tcBorders>
              <w:top w:val="single" w:color="auto" w:sz="4" w:space="0"/>
              <w:left w:val="nil"/>
              <w:bottom w:val="single" w:color="auto" w:sz="4" w:space="0"/>
              <w:right w:val="single" w:color="auto" w:sz="4" w:space="0"/>
            </w:tcBorders>
            <w:shd w:val="clear" w:color="auto" w:fill="auto"/>
            <w:noWrap w:val="0"/>
            <w:vAlign w:val="center"/>
          </w:tcPr>
          <w:p w14:paraId="4A0A98CD">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名称：灯组</w:t>
            </w:r>
          </w:p>
          <w:p w14:paraId="637716C9">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规格：300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300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400cm</w:t>
            </w:r>
          </w:p>
          <w:p w14:paraId="690575EB">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数量：1组</w:t>
            </w:r>
          </w:p>
        </w:tc>
        <w:tc>
          <w:tcPr>
            <w:tcW w:w="4688" w:type="dxa"/>
            <w:tcBorders>
              <w:top w:val="single" w:color="auto" w:sz="4" w:space="0"/>
              <w:left w:val="nil"/>
              <w:bottom w:val="single" w:color="auto" w:sz="4" w:space="0"/>
              <w:right w:val="single" w:color="auto" w:sz="4" w:space="0"/>
            </w:tcBorders>
            <w:noWrap w:val="0"/>
            <w:vAlign w:val="center"/>
          </w:tcPr>
          <w:p w14:paraId="6BBEE2E2">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草坪设置暖色艺术灯饰与烟花元素的造型灯组相结合，展示出欢快喜庆的春节气氛；包含辅材辅料及电线电缆；包含后期巡视维护等服务。</w:t>
            </w:r>
          </w:p>
        </w:tc>
      </w:tr>
      <w:tr w14:paraId="48919DFC">
        <w:tblPrEx>
          <w:tblCellMar>
            <w:top w:w="0" w:type="dxa"/>
            <w:left w:w="108" w:type="dxa"/>
            <w:bottom w:w="0" w:type="dxa"/>
            <w:right w:w="108" w:type="dxa"/>
          </w:tblCellMar>
        </w:tblPrEx>
        <w:trPr>
          <w:trHeight w:val="915" w:hRule="atLeas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14:paraId="41FB3D5D">
            <w:pPr>
              <w:snapToGrid w:val="0"/>
              <w:spacing w:line="440" w:lineRule="exact"/>
              <w:jc w:val="center"/>
              <w:rPr>
                <w:rFonts w:hint="eastAsia" w:ascii="方正仿宋简体" w:hAnsi="方正仿宋简体" w:eastAsia="方正仿宋简体" w:cs="方正仿宋简体"/>
                <w:b w:val="0"/>
                <w:bCs/>
                <w:color w:val="auto"/>
                <w:highlight w:val="none"/>
                <w:lang w:val="en-US" w:eastAsia="zh-CN"/>
              </w:rPr>
            </w:pPr>
            <w:r>
              <w:rPr>
                <w:rFonts w:hint="eastAsia" w:ascii="方正仿宋简体" w:hAnsi="方正仿宋简体" w:eastAsia="方正仿宋简体" w:cs="方正仿宋简体"/>
                <w:b w:val="0"/>
                <w:bCs/>
                <w:color w:val="auto"/>
                <w:highlight w:val="none"/>
                <w:lang w:val="en-US" w:eastAsia="zh-CN"/>
              </w:rPr>
              <w:t>12</w:t>
            </w:r>
          </w:p>
        </w:tc>
        <w:tc>
          <w:tcPr>
            <w:tcW w:w="1336" w:type="dxa"/>
            <w:tcBorders>
              <w:top w:val="single" w:color="auto" w:sz="4" w:space="0"/>
              <w:left w:val="nil"/>
              <w:bottom w:val="single" w:color="auto" w:sz="4" w:space="0"/>
              <w:right w:val="single" w:color="auto" w:sz="4" w:space="0"/>
            </w:tcBorders>
            <w:noWrap w:val="0"/>
            <w:vAlign w:val="center"/>
          </w:tcPr>
          <w:p w14:paraId="13637BA9">
            <w:pPr>
              <w:snapToGrid w:val="0"/>
              <w:spacing w:line="240" w:lineRule="auto"/>
              <w:jc w:val="center"/>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白玉桥头草坪</w:t>
            </w:r>
          </w:p>
        </w:tc>
        <w:tc>
          <w:tcPr>
            <w:tcW w:w="2550" w:type="dxa"/>
            <w:tcBorders>
              <w:top w:val="single" w:color="auto" w:sz="4" w:space="0"/>
              <w:left w:val="nil"/>
              <w:bottom w:val="single" w:color="auto" w:sz="4" w:space="0"/>
              <w:right w:val="single" w:color="auto" w:sz="4" w:space="0"/>
            </w:tcBorders>
            <w:shd w:val="clear" w:color="auto" w:fill="auto"/>
            <w:noWrap w:val="0"/>
            <w:vAlign w:val="center"/>
          </w:tcPr>
          <w:p w14:paraId="76191598">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名称：灯组</w:t>
            </w:r>
          </w:p>
          <w:p w14:paraId="0AF8335F">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规格：400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150</w:t>
            </w:r>
            <w:r>
              <w:rPr>
                <w:rFonts w:hint="eastAsia" w:ascii="方正仿宋简体" w:hAnsi="方正仿宋简体" w:eastAsia="方正仿宋简体" w:cs="方正仿宋简体"/>
                <w:b w:val="0"/>
                <w:bCs/>
                <w:color w:val="auto"/>
                <w:sz w:val="21"/>
                <w:szCs w:val="21"/>
              </w:rPr>
              <w:t>×</w:t>
            </w:r>
            <w:r>
              <w:rPr>
                <w:rFonts w:hint="eastAsia" w:ascii="方正仿宋简体" w:hAnsi="方正仿宋简体" w:eastAsia="方正仿宋简体" w:cs="方正仿宋简体"/>
                <w:b w:val="0"/>
                <w:bCs/>
                <w:color w:val="auto"/>
                <w:sz w:val="21"/>
                <w:szCs w:val="21"/>
                <w:lang w:val="en-US" w:eastAsia="zh-CN"/>
              </w:rPr>
              <w:t>400cm</w:t>
            </w:r>
          </w:p>
          <w:p w14:paraId="1BB05F89">
            <w:pPr>
              <w:snapToGrid w:val="0"/>
              <w:spacing w:line="240" w:lineRule="auto"/>
              <w:jc w:val="left"/>
              <w:rPr>
                <w:rFonts w:hint="eastAsia" w:ascii="方正仿宋简体" w:hAnsi="方正仿宋简体" w:eastAsia="方正仿宋简体" w:cs="方正仿宋简体"/>
                <w:b w:val="0"/>
                <w:bCs/>
                <w:color w:val="auto"/>
                <w:sz w:val="21"/>
                <w:szCs w:val="21"/>
                <w:highlight w:val="none"/>
                <w:lang w:val="en-US" w:eastAsia="zh-CN"/>
              </w:rPr>
            </w:pPr>
            <w:r>
              <w:rPr>
                <w:rFonts w:hint="eastAsia" w:ascii="方正仿宋简体" w:hAnsi="方正仿宋简体" w:eastAsia="方正仿宋简体" w:cs="方正仿宋简体"/>
                <w:b w:val="0"/>
                <w:bCs/>
                <w:color w:val="auto"/>
                <w:sz w:val="21"/>
                <w:szCs w:val="21"/>
                <w:highlight w:val="none"/>
                <w:lang w:val="en-US" w:eastAsia="zh-CN"/>
              </w:rPr>
              <w:t>数量：1组</w:t>
            </w:r>
          </w:p>
        </w:tc>
        <w:tc>
          <w:tcPr>
            <w:tcW w:w="4688" w:type="dxa"/>
            <w:tcBorders>
              <w:top w:val="single" w:color="auto" w:sz="4" w:space="0"/>
              <w:left w:val="nil"/>
              <w:bottom w:val="single" w:color="auto" w:sz="4" w:space="0"/>
              <w:right w:val="single" w:color="auto" w:sz="4" w:space="0"/>
            </w:tcBorders>
            <w:noWrap w:val="0"/>
            <w:vAlign w:val="center"/>
          </w:tcPr>
          <w:p w14:paraId="3903B716">
            <w:pPr>
              <w:snapToGrid w:val="0"/>
              <w:spacing w:line="240" w:lineRule="auto"/>
              <w:rPr>
                <w:rFonts w:hint="eastAsia" w:ascii="方正仿宋简体" w:hAnsi="方正仿宋简体" w:eastAsia="方正仿宋简体" w:cs="方正仿宋简体"/>
                <w:b w:val="0"/>
                <w:bCs/>
                <w:color w:val="auto"/>
                <w:sz w:val="24"/>
                <w:szCs w:val="24"/>
                <w:highlight w:val="none"/>
                <w:lang w:val="en-US" w:eastAsia="zh-CN"/>
              </w:rPr>
            </w:pPr>
            <w:r>
              <w:rPr>
                <w:rFonts w:hint="eastAsia" w:ascii="方正仿宋简体" w:hAnsi="方正仿宋简体" w:eastAsia="方正仿宋简体" w:cs="方正仿宋简体"/>
                <w:b w:val="0"/>
                <w:bCs/>
                <w:color w:val="auto"/>
                <w:sz w:val="24"/>
                <w:szCs w:val="24"/>
                <w:highlight w:val="none"/>
                <w:lang w:val="en-US" w:eastAsia="zh-CN"/>
              </w:rPr>
              <w:t>采用动物造型的手法，自然朴实且富有春意的表达方式来突显艺术氛围；包含辅材辅料及电线电缆；包含后期巡视维护等服务。</w:t>
            </w:r>
          </w:p>
        </w:tc>
      </w:tr>
    </w:tbl>
    <w:p w14:paraId="1F59D46F">
      <w:pPr>
        <w:widowControl/>
        <w:spacing w:line="440" w:lineRule="exact"/>
        <w:ind w:left="426" w:right="-58" w:rightChars="-24" w:firstLine="236" w:firstLineChars="98"/>
        <w:jc w:val="left"/>
        <w:outlineLvl w:val="1"/>
        <w:rPr>
          <w:rFonts w:hint="eastAsia" w:ascii="仿宋" w:hAnsi="仿宋" w:eastAsia="仿宋" w:cs="仿宋"/>
          <w:b/>
          <w:bCs/>
          <w:sz w:val="24"/>
          <w:szCs w:val="24"/>
        </w:rPr>
      </w:pPr>
      <w:r>
        <w:rPr>
          <w:rFonts w:hint="eastAsia" w:ascii="仿宋" w:hAnsi="仿宋" w:cs="仿宋"/>
          <w:b/>
          <w:bCs/>
          <w:sz w:val="24"/>
          <w:szCs w:val="24"/>
          <w:lang w:eastAsia="zh-CN"/>
        </w:rPr>
        <w:t>（</w:t>
      </w:r>
      <w:r>
        <w:rPr>
          <w:rFonts w:hint="eastAsia" w:ascii="仿宋" w:hAnsi="仿宋" w:cs="仿宋"/>
          <w:b/>
          <w:bCs/>
          <w:sz w:val="24"/>
          <w:szCs w:val="24"/>
          <w:lang w:val="en-US" w:eastAsia="zh-CN"/>
        </w:rPr>
        <w:t>二）</w:t>
      </w:r>
      <w:r>
        <w:rPr>
          <w:rFonts w:hint="eastAsia" w:ascii="仿宋" w:hAnsi="仿宋" w:eastAsia="仿宋" w:cs="仿宋"/>
          <w:b/>
          <w:bCs/>
          <w:sz w:val="24"/>
          <w:szCs w:val="24"/>
        </w:rPr>
        <w:t>创意与设计要求</w:t>
      </w:r>
    </w:p>
    <w:p w14:paraId="1C5FF8DA">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1、本项目设计</w:t>
      </w:r>
      <w:r>
        <w:rPr>
          <w:rFonts w:hint="eastAsia" w:ascii="仿宋" w:hAnsi="仿宋" w:cs="仿宋"/>
          <w:sz w:val="24"/>
          <w:szCs w:val="24"/>
          <w:lang w:val="en-US" w:eastAsia="zh-CN"/>
        </w:rPr>
        <w:t>迎春氛围12处</w:t>
      </w:r>
      <w:r>
        <w:rPr>
          <w:rFonts w:hint="eastAsia" w:ascii="仿宋" w:hAnsi="仿宋" w:eastAsia="仿宋" w:cs="仿宋"/>
          <w:sz w:val="24"/>
          <w:szCs w:val="24"/>
        </w:rPr>
        <w:t>，其中以</w:t>
      </w:r>
      <w:r>
        <w:rPr>
          <w:rFonts w:hint="eastAsia" w:ascii="仿宋" w:hAnsi="仿宋" w:cs="仿宋"/>
          <w:sz w:val="24"/>
          <w:szCs w:val="24"/>
          <w:lang w:val="en-US" w:eastAsia="zh-CN"/>
        </w:rPr>
        <w:t>三星堆</w:t>
      </w:r>
      <w:r>
        <w:rPr>
          <w:rFonts w:hint="eastAsia" w:ascii="仿宋" w:hAnsi="仿宋" w:eastAsia="仿宋" w:cs="仿宋"/>
          <w:sz w:val="24"/>
          <w:szCs w:val="24"/>
        </w:rPr>
        <w:t>文化、年节文化和传统文化为主题。</w:t>
      </w:r>
    </w:p>
    <w:p w14:paraId="75934683">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cs="仿宋"/>
          <w:sz w:val="24"/>
          <w:szCs w:val="24"/>
          <w:lang w:val="en-US" w:eastAsia="zh-CN"/>
        </w:rPr>
        <w:t>迎春氛围</w:t>
      </w:r>
      <w:r>
        <w:rPr>
          <w:rFonts w:hint="eastAsia" w:ascii="仿宋" w:hAnsi="仿宋" w:eastAsia="仿宋" w:cs="仿宋"/>
          <w:sz w:val="24"/>
          <w:szCs w:val="24"/>
        </w:rPr>
        <w:t>主题的设计方案应符合</w:t>
      </w:r>
      <w:r>
        <w:rPr>
          <w:rFonts w:hint="eastAsia" w:ascii="仿宋" w:hAnsi="仿宋" w:cs="仿宋"/>
          <w:sz w:val="24"/>
          <w:szCs w:val="24"/>
          <w:lang w:val="en-US" w:eastAsia="zh-CN"/>
        </w:rPr>
        <w:t>广汉</w:t>
      </w:r>
      <w:r>
        <w:rPr>
          <w:rFonts w:hint="eastAsia" w:ascii="仿宋" w:hAnsi="仿宋" w:eastAsia="仿宋" w:cs="仿宋"/>
          <w:sz w:val="24"/>
          <w:szCs w:val="24"/>
        </w:rPr>
        <w:t>要求的文化主题，在传统的</w:t>
      </w:r>
      <w:r>
        <w:rPr>
          <w:rFonts w:hint="eastAsia" w:ascii="仿宋" w:hAnsi="仿宋" w:cs="仿宋"/>
          <w:sz w:val="24"/>
          <w:szCs w:val="24"/>
          <w:lang w:val="en-US" w:eastAsia="zh-CN"/>
        </w:rPr>
        <w:t>节庆</w:t>
      </w:r>
      <w:r>
        <w:rPr>
          <w:rFonts w:hint="eastAsia" w:ascii="仿宋" w:hAnsi="仿宋" w:eastAsia="仿宋" w:cs="仿宋"/>
          <w:sz w:val="24"/>
          <w:szCs w:val="24"/>
        </w:rPr>
        <w:t>主题下，应紧密结合</w:t>
      </w:r>
      <w:r>
        <w:rPr>
          <w:rFonts w:hint="eastAsia" w:ascii="仿宋" w:hAnsi="仿宋" w:cs="仿宋"/>
          <w:sz w:val="24"/>
          <w:szCs w:val="24"/>
          <w:lang w:val="en-US" w:eastAsia="zh-CN"/>
        </w:rPr>
        <w:t>广汉元素</w:t>
      </w:r>
      <w:r>
        <w:rPr>
          <w:rFonts w:hint="eastAsia" w:ascii="仿宋" w:hAnsi="仿宋" w:eastAsia="仿宋" w:cs="仿宋"/>
          <w:sz w:val="24"/>
          <w:szCs w:val="24"/>
        </w:rPr>
        <w:t>；以</w:t>
      </w:r>
      <w:r>
        <w:rPr>
          <w:rFonts w:hint="eastAsia" w:ascii="仿宋" w:hAnsi="仿宋" w:cs="仿宋"/>
          <w:sz w:val="24"/>
          <w:szCs w:val="24"/>
          <w:lang w:val="en-US" w:eastAsia="zh-CN"/>
        </w:rPr>
        <w:t>广汉</w:t>
      </w:r>
      <w:r>
        <w:rPr>
          <w:rFonts w:hint="eastAsia" w:ascii="仿宋" w:hAnsi="仿宋" w:eastAsia="仿宋" w:cs="仿宋"/>
          <w:sz w:val="24"/>
          <w:szCs w:val="24"/>
        </w:rPr>
        <w:t>文化为底蕴融合</w:t>
      </w:r>
      <w:r>
        <w:rPr>
          <w:rFonts w:hint="eastAsia" w:ascii="仿宋" w:hAnsi="仿宋" w:cs="仿宋"/>
          <w:sz w:val="24"/>
          <w:szCs w:val="24"/>
          <w:lang w:val="en-US" w:eastAsia="zh-CN"/>
        </w:rPr>
        <w:t>新年</w:t>
      </w:r>
      <w:r>
        <w:rPr>
          <w:rFonts w:hint="eastAsia" w:ascii="仿宋" w:hAnsi="仿宋" w:eastAsia="仿宋" w:cs="仿宋"/>
          <w:sz w:val="24"/>
          <w:szCs w:val="24"/>
        </w:rPr>
        <w:t>文化和时尚创意元素的主题灯展。</w:t>
      </w:r>
    </w:p>
    <w:p w14:paraId="585D92B1">
      <w:pPr>
        <w:widowControl/>
        <w:spacing w:line="440" w:lineRule="exact"/>
        <w:ind w:left="426" w:right="-58" w:rightChars="-24" w:firstLine="236" w:firstLineChars="98"/>
        <w:jc w:val="left"/>
        <w:outlineLvl w:val="1"/>
        <w:rPr>
          <w:rFonts w:hint="eastAsia" w:ascii="仿宋" w:hAnsi="仿宋" w:eastAsia="仿宋" w:cs="仿宋"/>
          <w:b/>
          <w:bCs/>
          <w:sz w:val="24"/>
          <w:szCs w:val="24"/>
        </w:rPr>
      </w:pPr>
      <w:r>
        <w:rPr>
          <w:rFonts w:hint="eastAsia" w:ascii="仿宋" w:hAnsi="仿宋" w:eastAsia="仿宋" w:cs="仿宋"/>
          <w:b/>
          <w:bCs/>
          <w:sz w:val="24"/>
          <w:szCs w:val="24"/>
        </w:rPr>
        <w:t>（</w:t>
      </w:r>
      <w:r>
        <w:rPr>
          <w:rFonts w:hint="eastAsia" w:ascii="仿宋" w:hAnsi="仿宋" w:cs="仿宋"/>
          <w:b/>
          <w:bCs/>
          <w:sz w:val="24"/>
          <w:szCs w:val="24"/>
          <w:lang w:val="en-US" w:eastAsia="zh-CN"/>
        </w:rPr>
        <w:t>三</w:t>
      </w:r>
      <w:r>
        <w:rPr>
          <w:rFonts w:hint="eastAsia" w:ascii="仿宋" w:hAnsi="仿宋" w:eastAsia="仿宋" w:cs="仿宋"/>
          <w:b/>
          <w:bCs/>
          <w:sz w:val="24"/>
          <w:szCs w:val="24"/>
        </w:rPr>
        <w:t>）灯</w:t>
      </w:r>
      <w:r>
        <w:rPr>
          <w:rFonts w:hint="eastAsia" w:ascii="仿宋" w:hAnsi="仿宋" w:cs="仿宋"/>
          <w:b/>
          <w:bCs/>
          <w:sz w:val="24"/>
          <w:szCs w:val="24"/>
          <w:lang w:val="en-US" w:eastAsia="zh-CN"/>
        </w:rPr>
        <w:t>光秀</w:t>
      </w:r>
      <w:r>
        <w:rPr>
          <w:rFonts w:hint="eastAsia" w:ascii="仿宋" w:hAnsi="仿宋" w:eastAsia="仿宋" w:cs="仿宋"/>
          <w:b/>
          <w:bCs/>
          <w:sz w:val="24"/>
          <w:szCs w:val="24"/>
        </w:rPr>
        <w:t>制作安装技术要求</w:t>
      </w:r>
    </w:p>
    <w:p w14:paraId="3A01C66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1、占地面积：</w:t>
      </w:r>
      <w:r>
        <w:rPr>
          <w:rFonts w:hint="eastAsia" w:ascii="仿宋" w:hAnsi="仿宋" w:cs="仿宋"/>
          <w:sz w:val="24"/>
          <w:szCs w:val="24"/>
          <w:lang w:val="en-US" w:eastAsia="zh-CN"/>
        </w:rPr>
        <w:t>金雁湖公园范围内</w:t>
      </w:r>
      <w:r>
        <w:rPr>
          <w:rFonts w:hint="eastAsia" w:ascii="仿宋" w:hAnsi="仿宋" w:eastAsia="仿宋" w:cs="仿宋"/>
          <w:sz w:val="24"/>
          <w:szCs w:val="24"/>
        </w:rPr>
        <w:t>。</w:t>
      </w:r>
    </w:p>
    <w:p w14:paraId="5D449C3F">
      <w:pPr>
        <w:spacing w:line="400" w:lineRule="exact"/>
        <w:ind w:firstLine="480" w:firstLineChars="200"/>
        <w:rPr>
          <w:rFonts w:hint="eastAsia" w:ascii="仿宋" w:hAnsi="仿宋" w:eastAsia="仿宋" w:cs="仿宋"/>
          <w:sz w:val="24"/>
          <w:szCs w:val="24"/>
          <w:lang w:eastAsia="zh-CN"/>
        </w:rPr>
      </w:pPr>
      <w:r>
        <w:rPr>
          <w:rFonts w:hint="eastAsia" w:ascii="仿宋" w:hAnsi="仿宋" w:cs="仿宋"/>
          <w:sz w:val="24"/>
          <w:szCs w:val="24"/>
          <w:lang w:val="en-US" w:eastAsia="zh-CN"/>
        </w:rPr>
        <w:t>2</w:t>
      </w:r>
      <w:r>
        <w:rPr>
          <w:rFonts w:hint="eastAsia" w:ascii="仿宋" w:hAnsi="仿宋" w:eastAsia="仿宋" w:cs="仿宋"/>
          <w:sz w:val="24"/>
          <w:szCs w:val="24"/>
        </w:rPr>
        <w:t>、</w:t>
      </w:r>
      <w:r>
        <w:rPr>
          <w:rFonts w:hint="eastAsia" w:ascii="仿宋" w:hAnsi="仿宋" w:cs="仿宋"/>
          <w:sz w:val="24"/>
          <w:szCs w:val="24"/>
          <w:lang w:val="en-US" w:eastAsia="zh-CN"/>
        </w:rPr>
        <w:t>迎春氛围分布合理</w:t>
      </w:r>
      <w:r>
        <w:rPr>
          <w:rFonts w:hint="eastAsia" w:ascii="仿宋" w:hAnsi="仿宋" w:eastAsia="仿宋" w:cs="仿宋"/>
          <w:sz w:val="24"/>
          <w:szCs w:val="24"/>
        </w:rPr>
        <w:t>，色泽绚丽</w:t>
      </w:r>
      <w:r>
        <w:rPr>
          <w:rFonts w:hint="eastAsia" w:ascii="仿宋" w:hAnsi="仿宋" w:eastAsia="仿宋" w:cs="仿宋"/>
          <w:sz w:val="24"/>
          <w:szCs w:val="24"/>
          <w:lang w:eastAsia="zh-CN"/>
        </w:rPr>
        <w:t>。</w:t>
      </w:r>
    </w:p>
    <w:p w14:paraId="6EBDAA2D">
      <w:pPr>
        <w:spacing w:line="400" w:lineRule="exact"/>
        <w:ind w:firstLine="480" w:firstLineChars="200"/>
        <w:rPr>
          <w:rFonts w:hint="eastAsia" w:ascii="仿宋" w:hAnsi="仿宋" w:eastAsia="仿宋" w:cs="仿宋"/>
          <w:sz w:val="24"/>
          <w:szCs w:val="24"/>
        </w:rPr>
      </w:pPr>
      <w:r>
        <w:rPr>
          <w:rFonts w:hint="eastAsia" w:ascii="仿宋" w:hAnsi="仿宋" w:cs="仿宋"/>
          <w:sz w:val="24"/>
          <w:szCs w:val="24"/>
          <w:lang w:val="en-US" w:eastAsia="zh-CN"/>
        </w:rPr>
        <w:t>3</w:t>
      </w:r>
      <w:r>
        <w:rPr>
          <w:rFonts w:hint="eastAsia" w:ascii="仿宋" w:hAnsi="仿宋" w:eastAsia="仿宋" w:cs="仿宋"/>
          <w:sz w:val="24"/>
          <w:szCs w:val="24"/>
        </w:rPr>
        <w:t>、</w:t>
      </w:r>
      <w:r>
        <w:rPr>
          <w:rFonts w:hint="eastAsia" w:ascii="仿宋" w:hAnsi="仿宋" w:cs="仿宋"/>
          <w:sz w:val="24"/>
          <w:szCs w:val="24"/>
          <w:lang w:val="en-US" w:eastAsia="zh-CN"/>
        </w:rPr>
        <w:t>迎春氛围营造用电</w:t>
      </w:r>
      <w:r>
        <w:rPr>
          <w:rFonts w:hint="eastAsia" w:ascii="仿宋" w:hAnsi="仿宋" w:eastAsia="仿宋" w:cs="仿宋"/>
          <w:sz w:val="24"/>
          <w:szCs w:val="24"/>
        </w:rPr>
        <w:t>需采用符合国家安全标准的电线、电缆。电线采用B</w:t>
      </w:r>
      <w:r>
        <w:rPr>
          <w:rFonts w:hint="eastAsia" w:ascii="仿宋" w:hAnsi="仿宋" w:cs="仿宋"/>
          <w:sz w:val="24"/>
          <w:szCs w:val="24"/>
          <w:lang w:val="en-US" w:eastAsia="zh-CN"/>
        </w:rPr>
        <w:t>L</w:t>
      </w:r>
      <w:r>
        <w:rPr>
          <w:rFonts w:hint="eastAsia" w:ascii="仿宋" w:hAnsi="仿宋" w:eastAsia="仿宋" w:cs="仿宋"/>
          <w:sz w:val="24"/>
          <w:szCs w:val="24"/>
        </w:rPr>
        <w:t>V线，穿</w:t>
      </w:r>
      <w:r>
        <w:rPr>
          <w:rFonts w:hint="eastAsia" w:ascii="仿宋" w:hAnsi="仿宋" w:eastAsia="仿宋" w:cs="仿宋"/>
          <w:sz w:val="24"/>
          <w:szCs w:val="24"/>
          <w:highlight w:val="none"/>
        </w:rPr>
        <w:t>管</w:t>
      </w:r>
      <w:r>
        <w:rPr>
          <w:rFonts w:hint="eastAsia" w:ascii="仿宋" w:hAnsi="仿宋" w:eastAsia="仿宋" w:cs="仿宋"/>
          <w:sz w:val="24"/>
          <w:szCs w:val="24"/>
        </w:rPr>
        <w:t>安装，必须在安全负荷内运行。采用防水灯头，灯头韧性较好，绝缘要达到安全要求</w:t>
      </w:r>
    </w:p>
    <w:p w14:paraId="6071C8FE">
      <w:pPr>
        <w:spacing w:line="400" w:lineRule="exact"/>
        <w:ind w:firstLine="480" w:firstLineChars="200"/>
        <w:rPr>
          <w:rFonts w:hint="eastAsia" w:ascii="仿宋" w:hAnsi="仿宋" w:eastAsia="仿宋" w:cs="仿宋"/>
          <w:sz w:val="24"/>
          <w:szCs w:val="24"/>
        </w:rPr>
      </w:pPr>
      <w:r>
        <w:rPr>
          <w:rFonts w:hint="eastAsia" w:ascii="仿宋" w:hAnsi="仿宋" w:cs="仿宋"/>
          <w:sz w:val="24"/>
          <w:szCs w:val="24"/>
          <w:lang w:val="en-US" w:eastAsia="zh-CN"/>
        </w:rPr>
        <w:t>4</w:t>
      </w:r>
      <w:r>
        <w:rPr>
          <w:rFonts w:hint="eastAsia" w:ascii="仿宋" w:hAnsi="仿宋" w:eastAsia="仿宋" w:cs="仿宋"/>
          <w:sz w:val="24"/>
          <w:szCs w:val="24"/>
        </w:rPr>
        <w:t>、在制作施工过程中，采购人有权对造型、工艺、安全等方面进行指导和修改，供应商应积极配合并实施</w:t>
      </w:r>
    </w:p>
    <w:p w14:paraId="7E8BEFFC">
      <w:pPr>
        <w:spacing w:line="400" w:lineRule="exact"/>
        <w:ind w:firstLine="480" w:firstLineChars="200"/>
        <w:rPr>
          <w:rFonts w:hint="eastAsia" w:ascii="仿宋" w:hAnsi="仿宋" w:eastAsia="仿宋" w:cs="仿宋"/>
          <w:sz w:val="24"/>
          <w:szCs w:val="24"/>
        </w:rPr>
      </w:pPr>
      <w:r>
        <w:rPr>
          <w:rFonts w:hint="eastAsia" w:ascii="仿宋" w:hAnsi="仿宋" w:cs="仿宋"/>
          <w:sz w:val="24"/>
          <w:szCs w:val="24"/>
          <w:lang w:val="en-US" w:eastAsia="zh-CN"/>
        </w:rPr>
        <w:t>5</w:t>
      </w:r>
      <w:r>
        <w:rPr>
          <w:rFonts w:hint="eastAsia" w:ascii="仿宋" w:hAnsi="仿宋" w:eastAsia="仿宋" w:cs="仿宋"/>
          <w:sz w:val="24"/>
          <w:szCs w:val="24"/>
        </w:rPr>
        <w:t>、采购人提供</w:t>
      </w:r>
      <w:r>
        <w:rPr>
          <w:rFonts w:hint="eastAsia" w:ascii="仿宋" w:hAnsi="仿宋" w:cs="仿宋"/>
          <w:sz w:val="24"/>
          <w:szCs w:val="24"/>
          <w:lang w:val="en-US" w:eastAsia="zh-CN"/>
        </w:rPr>
        <w:t>迎春氛围</w:t>
      </w:r>
      <w:r>
        <w:rPr>
          <w:rFonts w:hint="eastAsia" w:ascii="仿宋" w:hAnsi="仿宋" w:eastAsia="仿宋" w:cs="仿宋"/>
          <w:sz w:val="24"/>
          <w:szCs w:val="24"/>
        </w:rPr>
        <w:t>制作场地，供应商负责防护打围。安装</w:t>
      </w:r>
      <w:r>
        <w:rPr>
          <w:rFonts w:hint="eastAsia" w:ascii="仿宋" w:hAnsi="仿宋" w:cs="仿宋"/>
          <w:sz w:val="24"/>
          <w:szCs w:val="24"/>
          <w:lang w:val="en-US" w:eastAsia="zh-CN"/>
        </w:rPr>
        <w:t>应</w:t>
      </w:r>
      <w:r>
        <w:rPr>
          <w:rFonts w:hint="eastAsia" w:ascii="仿宋" w:hAnsi="仿宋" w:eastAsia="仿宋" w:cs="仿宋"/>
          <w:sz w:val="24"/>
          <w:szCs w:val="24"/>
        </w:rPr>
        <w:t>符合安全文明施工要求。</w:t>
      </w:r>
    </w:p>
    <w:p w14:paraId="2D470F27">
      <w:pPr>
        <w:spacing w:line="400" w:lineRule="exact"/>
        <w:ind w:firstLine="480" w:firstLineChars="200"/>
        <w:rPr>
          <w:rFonts w:hint="eastAsia" w:ascii="仿宋" w:hAnsi="仿宋" w:eastAsia="仿宋" w:cs="仿宋"/>
          <w:sz w:val="24"/>
          <w:szCs w:val="24"/>
        </w:rPr>
      </w:pPr>
      <w:r>
        <w:rPr>
          <w:rFonts w:hint="eastAsia" w:ascii="仿宋" w:hAnsi="仿宋" w:cs="仿宋"/>
          <w:kern w:val="0"/>
          <w:sz w:val="24"/>
          <w:szCs w:val="24"/>
          <w:lang w:val="en-US" w:eastAsia="zh-CN"/>
        </w:rPr>
        <w:t>6</w:t>
      </w:r>
      <w:r>
        <w:rPr>
          <w:rFonts w:hint="eastAsia" w:ascii="仿宋" w:hAnsi="仿宋" w:eastAsia="仿宋" w:cs="仿宋"/>
          <w:sz w:val="24"/>
          <w:szCs w:val="24"/>
          <w:lang w:eastAsia="zh-CN"/>
        </w:rPr>
        <w:t>、</w:t>
      </w:r>
      <w:r>
        <w:rPr>
          <w:rFonts w:hint="eastAsia" w:ascii="仿宋" w:hAnsi="仿宋" w:eastAsia="仿宋" w:cs="仿宋"/>
          <w:sz w:val="24"/>
          <w:szCs w:val="24"/>
        </w:rPr>
        <w:t>各</w:t>
      </w:r>
      <w:r>
        <w:rPr>
          <w:rFonts w:hint="eastAsia" w:ascii="仿宋" w:hAnsi="仿宋" w:cs="仿宋"/>
          <w:sz w:val="24"/>
          <w:szCs w:val="24"/>
          <w:lang w:val="en-US" w:eastAsia="zh-CN"/>
        </w:rPr>
        <w:t>氛围点</w:t>
      </w:r>
      <w:r>
        <w:rPr>
          <w:rFonts w:hint="eastAsia" w:ascii="仿宋" w:hAnsi="仿宋" w:eastAsia="仿宋" w:cs="仿宋"/>
          <w:sz w:val="24"/>
          <w:szCs w:val="24"/>
        </w:rPr>
        <w:t>需配备相应的电源配电箱，距离符合安全要求。</w:t>
      </w:r>
    </w:p>
    <w:p w14:paraId="0A8A8487">
      <w:pPr>
        <w:widowControl/>
        <w:spacing w:line="440" w:lineRule="exact"/>
        <w:ind w:left="426" w:right="-58" w:rightChars="-24" w:firstLine="236" w:firstLineChars="98"/>
        <w:jc w:val="left"/>
        <w:outlineLvl w:val="1"/>
        <w:rPr>
          <w:rFonts w:hint="eastAsia" w:ascii="仿宋" w:hAnsi="仿宋" w:eastAsia="仿宋" w:cs="仿宋"/>
          <w:b/>
          <w:bCs/>
          <w:sz w:val="24"/>
          <w:szCs w:val="24"/>
        </w:rPr>
      </w:pPr>
      <w:r>
        <w:rPr>
          <w:rFonts w:hint="eastAsia" w:ascii="仿宋" w:hAnsi="仿宋" w:eastAsia="仿宋" w:cs="仿宋"/>
          <w:b/>
          <w:bCs/>
          <w:sz w:val="24"/>
          <w:szCs w:val="24"/>
        </w:rPr>
        <w:t>（</w:t>
      </w:r>
      <w:r>
        <w:rPr>
          <w:rFonts w:hint="eastAsia" w:ascii="仿宋" w:hAnsi="仿宋" w:cs="仿宋"/>
          <w:b/>
          <w:bCs/>
          <w:sz w:val="24"/>
          <w:szCs w:val="24"/>
          <w:lang w:val="en-US" w:eastAsia="zh-CN"/>
        </w:rPr>
        <w:t>四</w:t>
      </w:r>
      <w:r>
        <w:rPr>
          <w:rFonts w:hint="eastAsia" w:ascii="仿宋" w:hAnsi="仿宋" w:eastAsia="仿宋" w:cs="仿宋"/>
          <w:b/>
          <w:bCs/>
          <w:sz w:val="24"/>
          <w:szCs w:val="24"/>
        </w:rPr>
        <w:t>）运行维护</w:t>
      </w:r>
    </w:p>
    <w:p w14:paraId="31D7744B">
      <w:pPr>
        <w:spacing w:line="400" w:lineRule="exact"/>
        <w:ind w:firstLine="480" w:firstLineChars="200"/>
        <w:rPr>
          <w:rFonts w:hint="eastAsia" w:ascii="仿宋" w:hAnsi="仿宋" w:cs="仿宋"/>
          <w:sz w:val="24"/>
          <w:szCs w:val="24"/>
          <w:lang w:eastAsia="zh-CN"/>
        </w:rPr>
      </w:pPr>
      <w:r>
        <w:rPr>
          <w:rFonts w:hint="eastAsia" w:ascii="仿宋" w:hAnsi="仿宋" w:eastAsia="仿宋" w:cs="仿宋"/>
          <w:sz w:val="24"/>
          <w:szCs w:val="24"/>
        </w:rPr>
        <w:t>1、活动期间供应商人员保障要求：维护负责人1名</w:t>
      </w:r>
      <w:r>
        <w:rPr>
          <w:rFonts w:hint="eastAsia" w:ascii="仿宋" w:hAnsi="仿宋" w:cs="仿宋"/>
          <w:sz w:val="24"/>
          <w:szCs w:val="24"/>
          <w:lang w:eastAsia="zh-CN"/>
        </w:rPr>
        <w:t>。</w:t>
      </w:r>
    </w:p>
    <w:p w14:paraId="538624DE">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2、活动期间供应商工作人员食宿保障：自理。</w:t>
      </w:r>
    </w:p>
    <w:p w14:paraId="7F34E29D">
      <w:pPr>
        <w:spacing w:line="400" w:lineRule="exact"/>
        <w:ind w:firstLine="480" w:firstLineChars="200"/>
        <w:rPr>
          <w:color w:val="808080" w:themeColor="background1" w:themeShade="80"/>
          <w:highlight w:val="none"/>
        </w:rPr>
      </w:pPr>
      <w:r>
        <w:rPr>
          <w:rFonts w:hint="eastAsia" w:ascii="仿宋" w:hAnsi="仿宋" w:eastAsia="仿宋" w:cs="仿宋"/>
          <w:sz w:val="24"/>
          <w:szCs w:val="24"/>
        </w:rPr>
        <w:t>3、</w:t>
      </w:r>
      <w:r>
        <w:rPr>
          <w:rFonts w:hint="eastAsia" w:ascii="仿宋" w:hAnsi="仿宋" w:cs="仿宋"/>
          <w:sz w:val="24"/>
          <w:szCs w:val="24"/>
          <w:lang w:val="en-US" w:eastAsia="zh-CN"/>
        </w:rPr>
        <w:t>迎春氛围</w:t>
      </w:r>
      <w:r>
        <w:rPr>
          <w:rFonts w:hint="eastAsia" w:ascii="仿宋" w:hAnsi="仿宋" w:eastAsia="仿宋" w:cs="仿宋"/>
          <w:sz w:val="24"/>
          <w:szCs w:val="24"/>
        </w:rPr>
        <w:t>制作施工用电及施工人员生活用电由供应商承担，试灯和展出用电由采购人承担。</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F79D735-636A-409C-B588-DC21B51B3AFA}"/>
  </w:font>
  <w:font w:name="仿宋">
    <w:panose1 w:val="02010609060101010101"/>
    <w:charset w:val="86"/>
    <w:family w:val="auto"/>
    <w:pitch w:val="default"/>
    <w:sig w:usb0="800002BF" w:usb1="38CF7CFA" w:usb2="00000016" w:usb3="00000000" w:csb0="00040001" w:csb1="00000000"/>
    <w:embedRegular r:id="rId2" w:fontKey="{FEF61383-F237-4FE0-A5ED-47421152731B}"/>
  </w:font>
  <w:font w:name="方正仿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yZjUwMDYwOTA0MzgwNTQ4OWM3NjAxNTU2YWIzNjcifQ=="/>
    <w:docVar w:name="KSO_WPS_MARK_KEY" w:val="e8c2250e-b03d-420c-be0a-7c1706e4399c"/>
  </w:docVars>
  <w:rsids>
    <w:rsidRoot w:val="5D605387"/>
    <w:rsid w:val="00C32604"/>
    <w:rsid w:val="065C25DA"/>
    <w:rsid w:val="06655D97"/>
    <w:rsid w:val="0C0B42EE"/>
    <w:rsid w:val="10262190"/>
    <w:rsid w:val="10CC4A4F"/>
    <w:rsid w:val="12603E5E"/>
    <w:rsid w:val="12A86FFD"/>
    <w:rsid w:val="196767D4"/>
    <w:rsid w:val="1C4008C5"/>
    <w:rsid w:val="1D125BDE"/>
    <w:rsid w:val="260B4825"/>
    <w:rsid w:val="2BC529E2"/>
    <w:rsid w:val="3D031CA0"/>
    <w:rsid w:val="3E041212"/>
    <w:rsid w:val="46EB783F"/>
    <w:rsid w:val="4A445D99"/>
    <w:rsid w:val="4AFB2991"/>
    <w:rsid w:val="5D605387"/>
    <w:rsid w:val="5DC86B2F"/>
    <w:rsid w:val="6A932E06"/>
    <w:rsid w:val="6CBD67D3"/>
    <w:rsid w:val="6D6C0E2A"/>
    <w:rsid w:val="6DA00BE5"/>
    <w:rsid w:val="7A676975"/>
    <w:rsid w:val="7F972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仿宋" w:cs="Times New Roman"/>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heme="minorHAnsi" w:hAnsiTheme="minorHAnsi" w:eastAsiaTheme="minorEastAsia" w:cstheme="minorBid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2052</Words>
  <Characters>2259</Characters>
  <Lines>0</Lines>
  <Paragraphs>0</Paragraphs>
  <TotalTime>1</TotalTime>
  <ScaleCrop>false</ScaleCrop>
  <LinksUpToDate>false</LinksUpToDate>
  <CharactersWithSpaces>2274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2024-01-03T03:06:00Z</dcterms:created>
  <dc:creator>lenovo</dc:creator>
  <cp:lastModifiedBy>%E5%88%98%E6%B3%A2</cp:lastModifiedBy>
  <cp:lastPrinted>2024-12-19T07:54:36Z</cp:lastPrinted>
  <dcterms:modified xsi:type="dcterms:W3CDTF">2024-12-19T08:03:06Z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AE7653CB505743C5A42F6F1BD5CB919E_13</vt:lpwstr>
  </property>
</Properties>
</file>